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718C" w14:textId="07C1244C" w:rsidR="006104F0" w:rsidRDefault="006104F0" w:rsidP="00D40A1F">
      <w:pPr>
        <w:spacing w:after="0" w:line="240" w:lineRule="auto"/>
        <w:contextualSpacing/>
        <w:jc w:val="center"/>
        <w:rPr>
          <w:rFonts w:asciiTheme="majorBidi" w:hAnsiTheme="majorBidi" w:cstheme="majorBidi"/>
          <w:b/>
          <w:bCs/>
          <w:sz w:val="28"/>
          <w:szCs w:val="28"/>
        </w:rPr>
      </w:pPr>
      <w:r w:rsidRPr="006104F0">
        <w:rPr>
          <w:rFonts w:asciiTheme="majorBidi" w:hAnsiTheme="majorBidi" w:cstheme="majorBidi"/>
          <w:b/>
          <w:bCs/>
          <w:sz w:val="28"/>
          <w:szCs w:val="28"/>
        </w:rPr>
        <w:t>Identifying Drivers of Affordable Housing Supply</w:t>
      </w:r>
    </w:p>
    <w:p w14:paraId="0DB868FD" w14:textId="1166BD78" w:rsidR="006104F0" w:rsidRDefault="006104F0" w:rsidP="00D40A1F">
      <w:pPr>
        <w:spacing w:after="0" w:line="240" w:lineRule="auto"/>
        <w:contextualSpacing/>
        <w:jc w:val="center"/>
        <w:rPr>
          <w:rFonts w:asciiTheme="majorBidi" w:hAnsiTheme="majorBidi" w:cstheme="majorBidi"/>
          <w:b/>
          <w:bCs/>
          <w:sz w:val="28"/>
          <w:szCs w:val="28"/>
        </w:rPr>
      </w:pPr>
      <w:r w:rsidRPr="006104F0">
        <w:rPr>
          <w:rFonts w:asciiTheme="majorBidi" w:hAnsiTheme="majorBidi" w:cstheme="majorBidi"/>
          <w:b/>
          <w:bCs/>
          <w:sz w:val="28"/>
          <w:szCs w:val="28"/>
        </w:rPr>
        <w:t>Based on Socio-Cultural Patterns in Iran</w:t>
      </w:r>
    </w:p>
    <w:p w14:paraId="79B78B45" w14:textId="16FA91DD" w:rsidR="006104F0" w:rsidRDefault="006104F0" w:rsidP="006104F0">
      <w:pPr>
        <w:spacing w:after="0" w:line="240" w:lineRule="auto"/>
        <w:contextualSpacing/>
        <w:jc w:val="both"/>
        <w:rPr>
          <w:rFonts w:asciiTheme="majorBidi" w:hAnsiTheme="majorBidi" w:cstheme="majorBidi"/>
          <w:sz w:val="28"/>
          <w:szCs w:val="28"/>
        </w:rPr>
      </w:pPr>
    </w:p>
    <w:p w14:paraId="25BA7685" w14:textId="77777777" w:rsidR="006104F0" w:rsidRPr="006104F0" w:rsidRDefault="006104F0" w:rsidP="006104F0">
      <w:pPr>
        <w:spacing w:after="0" w:line="240" w:lineRule="auto"/>
        <w:contextualSpacing/>
        <w:jc w:val="both"/>
        <w:rPr>
          <w:rFonts w:asciiTheme="majorBidi" w:hAnsiTheme="majorBidi" w:cstheme="majorBidi"/>
          <w:sz w:val="28"/>
          <w:szCs w:val="28"/>
        </w:rPr>
      </w:pPr>
    </w:p>
    <w:p w14:paraId="33B96EAB" w14:textId="179A3401" w:rsidR="006104F0" w:rsidRDefault="006104F0" w:rsidP="006104F0">
      <w:pPr>
        <w:tabs>
          <w:tab w:val="num" w:pos="720"/>
        </w:tabs>
        <w:spacing w:after="0" w:line="240" w:lineRule="auto"/>
        <w:contextualSpacing/>
        <w:jc w:val="both"/>
        <w:rPr>
          <w:rFonts w:asciiTheme="majorBidi" w:hAnsiTheme="majorBidi" w:cstheme="majorBidi"/>
        </w:rPr>
      </w:pPr>
      <w:r w:rsidRPr="006104F0">
        <w:rPr>
          <w:rFonts w:asciiTheme="majorBidi" w:hAnsiTheme="majorBidi" w:cstheme="majorBidi"/>
          <w:b/>
          <w:bCs/>
        </w:rPr>
        <w:t>Abstract:</w:t>
      </w:r>
      <w:r w:rsidRPr="006104F0">
        <w:rPr>
          <w:rFonts w:asciiTheme="majorBidi" w:hAnsiTheme="majorBidi" w:cstheme="majorBidi"/>
        </w:rPr>
        <w:br/>
        <w:t>The aim of this research is to identify the effective drivers of affordable housing supply based on the socio-cultural patterns of Iran. To achieve this goal, a mixed-method approach was employed. The statistical population of this study includes all experts, managers, and elites familiar with the subject. In the initial stages, 33 credible articles were selected and analyzed using the meta-synthesis method, a qualitative approach, combined with interviews with five experts to identify the drivers. Subsequently, through a sample of 273 experts, elites, and specialists, and using confirmatory factor analysis, localized drivers for Iran were extracted.</w:t>
      </w:r>
      <w:r>
        <w:rPr>
          <w:rFonts w:asciiTheme="majorBidi" w:hAnsiTheme="majorBidi" w:cstheme="majorBidi"/>
        </w:rPr>
        <w:t xml:space="preserve"> </w:t>
      </w:r>
      <w:r w:rsidRPr="006104F0">
        <w:rPr>
          <w:rFonts w:asciiTheme="majorBidi" w:hAnsiTheme="majorBidi" w:cstheme="majorBidi"/>
        </w:rPr>
        <w:t>The key drivers identified include:</w:t>
      </w:r>
      <w:r>
        <w:rPr>
          <w:rFonts w:asciiTheme="majorBidi" w:hAnsiTheme="majorBidi" w:cstheme="majorBidi"/>
        </w:rPr>
        <w:t xml:space="preserve"> </w:t>
      </w:r>
      <w:r w:rsidRPr="006104F0">
        <w:rPr>
          <w:rFonts w:asciiTheme="majorBidi" w:hAnsiTheme="majorBidi" w:cstheme="majorBidi"/>
        </w:rPr>
        <w:t>Standardization and modularization of design and construction,</w:t>
      </w:r>
      <w:r>
        <w:rPr>
          <w:rFonts w:asciiTheme="majorBidi" w:hAnsiTheme="majorBidi" w:cstheme="majorBidi"/>
        </w:rPr>
        <w:t xml:space="preserve"> </w:t>
      </w:r>
      <w:r w:rsidRPr="006104F0">
        <w:rPr>
          <w:rFonts w:asciiTheme="majorBidi" w:hAnsiTheme="majorBidi" w:cstheme="majorBidi"/>
        </w:rPr>
        <w:t>Use of passive ventilation and climate-responsive strategies,</w:t>
      </w:r>
      <w:r>
        <w:rPr>
          <w:rFonts w:asciiTheme="majorBidi" w:hAnsiTheme="majorBidi" w:cstheme="majorBidi"/>
        </w:rPr>
        <w:t xml:space="preserve"> </w:t>
      </w:r>
      <w:r w:rsidRPr="006104F0">
        <w:rPr>
          <w:rFonts w:asciiTheme="majorBidi" w:hAnsiTheme="majorBidi" w:cstheme="majorBidi"/>
        </w:rPr>
        <w:t>Adoption of modern technologies in construction and design,</w:t>
      </w:r>
      <w:r>
        <w:rPr>
          <w:rFonts w:asciiTheme="majorBidi" w:hAnsiTheme="majorBidi" w:cstheme="majorBidi"/>
        </w:rPr>
        <w:t xml:space="preserve"> </w:t>
      </w:r>
      <w:r w:rsidRPr="006104F0">
        <w:rPr>
          <w:rFonts w:asciiTheme="majorBidi" w:hAnsiTheme="majorBidi" w:cstheme="majorBidi"/>
        </w:rPr>
        <w:t>Utilization of sustainable and recyclable materials,</w:t>
      </w:r>
      <w:r>
        <w:rPr>
          <w:rFonts w:asciiTheme="majorBidi" w:hAnsiTheme="majorBidi" w:cstheme="majorBidi"/>
        </w:rPr>
        <w:t xml:space="preserve"> </w:t>
      </w:r>
      <w:r w:rsidRPr="006104F0">
        <w:rPr>
          <w:rFonts w:asciiTheme="majorBidi" w:hAnsiTheme="majorBidi" w:cstheme="majorBidi"/>
        </w:rPr>
        <w:t>Increasing speed and productivity in production and execution processes,</w:t>
      </w:r>
      <w:r>
        <w:rPr>
          <w:rFonts w:asciiTheme="majorBidi" w:hAnsiTheme="majorBidi" w:cstheme="majorBidi"/>
        </w:rPr>
        <w:t xml:space="preserve"> </w:t>
      </w:r>
      <w:r w:rsidRPr="006104F0">
        <w:rPr>
          <w:rFonts w:asciiTheme="majorBidi" w:hAnsiTheme="majorBidi" w:cstheme="majorBidi"/>
        </w:rPr>
        <w:t>Adaptability to user and family needs,</w:t>
      </w:r>
      <w:r>
        <w:rPr>
          <w:rFonts w:asciiTheme="majorBidi" w:hAnsiTheme="majorBidi" w:cstheme="majorBidi"/>
        </w:rPr>
        <w:t xml:space="preserve"> </w:t>
      </w:r>
      <w:r w:rsidRPr="006104F0">
        <w:rPr>
          <w:rFonts w:asciiTheme="majorBidi" w:hAnsiTheme="majorBidi" w:cstheme="majorBidi"/>
        </w:rPr>
        <w:t>Flexibility in design and spatial variability,</w:t>
      </w:r>
      <w:r>
        <w:rPr>
          <w:rFonts w:asciiTheme="majorBidi" w:hAnsiTheme="majorBidi" w:cstheme="majorBidi"/>
        </w:rPr>
        <w:t xml:space="preserve"> </w:t>
      </w:r>
      <w:r w:rsidRPr="006104F0">
        <w:rPr>
          <w:rFonts w:asciiTheme="majorBidi" w:hAnsiTheme="majorBidi" w:cstheme="majorBidi"/>
        </w:rPr>
        <w:t>Building safety and resilience,</w:t>
      </w:r>
      <w:r>
        <w:rPr>
          <w:rFonts w:asciiTheme="majorBidi" w:hAnsiTheme="majorBidi" w:cstheme="majorBidi"/>
        </w:rPr>
        <w:t xml:space="preserve"> </w:t>
      </w:r>
      <w:r w:rsidRPr="006104F0">
        <w:rPr>
          <w:rFonts w:asciiTheme="majorBidi" w:hAnsiTheme="majorBidi" w:cstheme="majorBidi"/>
        </w:rPr>
        <w:t>Optimization of energy consumption and reduction of environmental impacts,</w:t>
      </w:r>
      <w:r>
        <w:rPr>
          <w:rFonts w:asciiTheme="majorBidi" w:hAnsiTheme="majorBidi" w:cstheme="majorBidi"/>
        </w:rPr>
        <w:t xml:space="preserve"> </w:t>
      </w:r>
      <w:r w:rsidRPr="006104F0">
        <w:rPr>
          <w:rFonts w:asciiTheme="majorBidi" w:hAnsiTheme="majorBidi" w:cstheme="majorBidi"/>
        </w:rPr>
        <w:t>Optimization of energy costs and ventilation systems,</w:t>
      </w:r>
      <w:r>
        <w:rPr>
          <w:rFonts w:asciiTheme="majorBidi" w:hAnsiTheme="majorBidi" w:cstheme="majorBidi"/>
        </w:rPr>
        <w:t xml:space="preserve"> </w:t>
      </w:r>
      <w:r w:rsidRPr="006104F0">
        <w:rPr>
          <w:rFonts w:asciiTheme="majorBidi" w:hAnsiTheme="majorBidi" w:cstheme="majorBidi"/>
        </w:rPr>
        <w:t>Provision of psychological comfort and prevention of environmental stress,</w:t>
      </w:r>
      <w:r>
        <w:rPr>
          <w:rFonts w:asciiTheme="majorBidi" w:hAnsiTheme="majorBidi" w:cstheme="majorBidi"/>
        </w:rPr>
        <w:t xml:space="preserve"> </w:t>
      </w:r>
      <w:r w:rsidRPr="006104F0">
        <w:rPr>
          <w:rFonts w:asciiTheme="majorBidi" w:hAnsiTheme="majorBidi" w:cstheme="majorBidi"/>
        </w:rPr>
        <w:t>Provision of natural light and optimal use of sunlight,</w:t>
      </w:r>
      <w:r>
        <w:rPr>
          <w:rFonts w:asciiTheme="majorBidi" w:hAnsiTheme="majorBidi" w:cstheme="majorBidi"/>
        </w:rPr>
        <w:t xml:space="preserve"> </w:t>
      </w:r>
      <w:r w:rsidRPr="006104F0">
        <w:rPr>
          <w:rFonts w:asciiTheme="majorBidi" w:hAnsiTheme="majorBidi" w:cstheme="majorBidi"/>
        </w:rPr>
        <w:t>Strengthening neighborhood relationships and social interaction,</w:t>
      </w:r>
      <w:r>
        <w:rPr>
          <w:rFonts w:asciiTheme="majorBidi" w:hAnsiTheme="majorBidi" w:cstheme="majorBidi"/>
        </w:rPr>
        <w:t xml:space="preserve"> </w:t>
      </w:r>
      <w:r w:rsidRPr="006104F0">
        <w:rPr>
          <w:rFonts w:asciiTheme="majorBidi" w:hAnsiTheme="majorBidi" w:cstheme="majorBidi"/>
        </w:rPr>
        <w:t>Aesthetic considerations and preservation of architectural identity,</w:t>
      </w:r>
      <w:r>
        <w:rPr>
          <w:rFonts w:asciiTheme="majorBidi" w:hAnsiTheme="majorBidi" w:cstheme="majorBidi"/>
        </w:rPr>
        <w:t xml:space="preserve"> </w:t>
      </w:r>
      <w:r w:rsidRPr="006104F0">
        <w:rPr>
          <w:rFonts w:asciiTheme="majorBidi" w:hAnsiTheme="majorBidi" w:cstheme="majorBidi"/>
        </w:rPr>
        <w:t>Cost savings in construction and maintenance,</w:t>
      </w:r>
      <w:r>
        <w:rPr>
          <w:rFonts w:asciiTheme="majorBidi" w:hAnsiTheme="majorBidi" w:cstheme="majorBidi"/>
        </w:rPr>
        <w:t xml:space="preserve"> </w:t>
      </w:r>
      <w:r w:rsidRPr="006104F0">
        <w:rPr>
          <w:rFonts w:asciiTheme="majorBidi" w:hAnsiTheme="majorBidi" w:cstheme="majorBidi"/>
        </w:rPr>
        <w:t>Future-oriented design and expandability,</w:t>
      </w:r>
      <w:r>
        <w:rPr>
          <w:rFonts w:asciiTheme="majorBidi" w:hAnsiTheme="majorBidi" w:cstheme="majorBidi"/>
        </w:rPr>
        <w:t xml:space="preserve"> </w:t>
      </w:r>
      <w:r w:rsidRPr="006104F0">
        <w:rPr>
          <w:rFonts w:asciiTheme="majorBidi" w:hAnsiTheme="majorBidi" w:cstheme="majorBidi"/>
        </w:rPr>
        <w:t>Design of multipurpose and flexible spaces,</w:t>
      </w:r>
      <w:r>
        <w:rPr>
          <w:rFonts w:asciiTheme="majorBidi" w:hAnsiTheme="majorBidi" w:cstheme="majorBidi"/>
        </w:rPr>
        <w:t xml:space="preserve"> </w:t>
      </w:r>
      <w:r w:rsidRPr="006104F0">
        <w:rPr>
          <w:rFonts w:asciiTheme="majorBidi" w:hAnsiTheme="majorBidi" w:cstheme="majorBidi"/>
        </w:rPr>
        <w:t>Coordination between structural and mechanical systems,</w:t>
      </w:r>
      <w:r>
        <w:rPr>
          <w:rFonts w:asciiTheme="majorBidi" w:hAnsiTheme="majorBidi" w:cstheme="majorBidi"/>
        </w:rPr>
        <w:t xml:space="preserve"> </w:t>
      </w:r>
      <w:r w:rsidRPr="006104F0">
        <w:rPr>
          <w:rFonts w:asciiTheme="majorBidi" w:hAnsiTheme="majorBidi" w:cstheme="majorBidi"/>
        </w:rPr>
        <w:t>Reduction of environmental impacts during construction and operation,</w:t>
      </w:r>
      <w:r>
        <w:rPr>
          <w:rFonts w:asciiTheme="majorBidi" w:hAnsiTheme="majorBidi" w:cstheme="majorBidi"/>
        </w:rPr>
        <w:t xml:space="preserve"> </w:t>
      </w:r>
      <w:r w:rsidRPr="006104F0">
        <w:rPr>
          <w:rFonts w:asciiTheme="majorBidi" w:hAnsiTheme="majorBidi" w:cstheme="majorBidi"/>
        </w:rPr>
        <w:t>Reduction of construction waste and waste management,</w:t>
      </w:r>
      <w:r>
        <w:rPr>
          <w:rFonts w:asciiTheme="majorBidi" w:hAnsiTheme="majorBidi" w:cstheme="majorBidi"/>
        </w:rPr>
        <w:t xml:space="preserve"> </w:t>
      </w:r>
      <w:r w:rsidRPr="006104F0">
        <w:rPr>
          <w:rFonts w:asciiTheme="majorBidi" w:hAnsiTheme="majorBidi" w:cstheme="majorBidi"/>
        </w:rPr>
        <w:t>Decreased reliance on human labor,</w:t>
      </w:r>
      <w:r>
        <w:rPr>
          <w:rFonts w:asciiTheme="majorBidi" w:hAnsiTheme="majorBidi" w:cstheme="majorBidi"/>
        </w:rPr>
        <w:t xml:space="preserve"> </w:t>
      </w:r>
      <w:r w:rsidRPr="006104F0">
        <w:rPr>
          <w:rFonts w:asciiTheme="majorBidi" w:hAnsiTheme="majorBidi" w:cstheme="majorBidi"/>
        </w:rPr>
        <w:t>High-quality residential spaces and provision of occupant comfort.</w:t>
      </w:r>
      <w:r>
        <w:rPr>
          <w:rFonts w:asciiTheme="majorBidi" w:hAnsiTheme="majorBidi" w:cstheme="majorBidi"/>
        </w:rPr>
        <w:t xml:space="preserve"> </w:t>
      </w:r>
      <w:r w:rsidRPr="006104F0">
        <w:rPr>
          <w:rFonts w:asciiTheme="majorBidi" w:hAnsiTheme="majorBidi" w:cstheme="majorBidi"/>
        </w:rPr>
        <w:t>These are the main and significant drivers that must be considered in this endeavor. Finally, it was suggested that by providing special facilities, education and guidance, creating shared and social spaces, improving construction standards, offering customization options, and promoting collaborative lifestyles and spaces, affordable housing can be brought closer to the socio-cultural patterns of Iran.</w:t>
      </w:r>
    </w:p>
    <w:p w14:paraId="11C9CD47" w14:textId="77777777" w:rsidR="00D40A1F" w:rsidRPr="006104F0" w:rsidRDefault="00D40A1F" w:rsidP="006104F0">
      <w:pPr>
        <w:tabs>
          <w:tab w:val="num" w:pos="720"/>
        </w:tabs>
        <w:spacing w:after="0" w:line="240" w:lineRule="auto"/>
        <w:contextualSpacing/>
        <w:jc w:val="both"/>
        <w:rPr>
          <w:rFonts w:asciiTheme="majorBidi" w:hAnsiTheme="majorBidi" w:cstheme="majorBidi"/>
        </w:rPr>
      </w:pPr>
    </w:p>
    <w:p w14:paraId="6BD755BC" w14:textId="013B7943"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b/>
          <w:bCs/>
        </w:rPr>
        <w:t>Keywords:</w:t>
      </w:r>
      <w:r w:rsidRPr="006104F0">
        <w:rPr>
          <w:rFonts w:asciiTheme="majorBidi" w:hAnsiTheme="majorBidi" w:cstheme="majorBidi"/>
        </w:rPr>
        <w:t> </w:t>
      </w:r>
      <w:r>
        <w:rPr>
          <w:rFonts w:asciiTheme="majorBidi" w:hAnsiTheme="majorBidi" w:cstheme="majorBidi"/>
        </w:rPr>
        <w:t>A</w:t>
      </w:r>
      <w:r w:rsidRPr="006104F0">
        <w:rPr>
          <w:rFonts w:asciiTheme="majorBidi" w:hAnsiTheme="majorBidi" w:cstheme="majorBidi"/>
        </w:rPr>
        <w:t xml:space="preserve">ffordable </w:t>
      </w:r>
      <w:r>
        <w:rPr>
          <w:rFonts w:asciiTheme="majorBidi" w:hAnsiTheme="majorBidi" w:cstheme="majorBidi"/>
        </w:rPr>
        <w:t>H</w:t>
      </w:r>
      <w:r w:rsidRPr="006104F0">
        <w:rPr>
          <w:rFonts w:asciiTheme="majorBidi" w:hAnsiTheme="majorBidi" w:cstheme="majorBidi"/>
        </w:rPr>
        <w:t>ousing</w:t>
      </w:r>
      <w:r>
        <w:rPr>
          <w:rFonts w:asciiTheme="majorBidi" w:hAnsiTheme="majorBidi" w:cstheme="majorBidi"/>
        </w:rPr>
        <w:t>,</w:t>
      </w:r>
      <w:r w:rsidRPr="006104F0">
        <w:rPr>
          <w:rFonts w:asciiTheme="majorBidi" w:hAnsiTheme="majorBidi" w:cstheme="majorBidi"/>
        </w:rPr>
        <w:t xml:space="preserve"> </w:t>
      </w:r>
      <w:r>
        <w:rPr>
          <w:rFonts w:asciiTheme="majorBidi" w:hAnsiTheme="majorBidi" w:cstheme="majorBidi"/>
        </w:rPr>
        <w:t>D</w:t>
      </w:r>
      <w:r w:rsidRPr="006104F0">
        <w:rPr>
          <w:rFonts w:asciiTheme="majorBidi" w:hAnsiTheme="majorBidi" w:cstheme="majorBidi"/>
        </w:rPr>
        <w:t>rivers,</w:t>
      </w:r>
      <w:r>
        <w:rPr>
          <w:rFonts w:asciiTheme="majorBidi" w:hAnsiTheme="majorBidi" w:cstheme="majorBidi"/>
        </w:rPr>
        <w:t xml:space="preserve"> </w:t>
      </w:r>
      <w:r w:rsidRPr="006104F0">
        <w:rPr>
          <w:rFonts w:asciiTheme="majorBidi" w:hAnsiTheme="majorBidi" w:cstheme="majorBidi"/>
        </w:rPr>
        <w:t>Socio-cultural patterns.</w:t>
      </w:r>
    </w:p>
    <w:p w14:paraId="1798C95D" w14:textId="4012267D" w:rsidR="006104F0" w:rsidRDefault="006104F0" w:rsidP="006104F0">
      <w:pPr>
        <w:spacing w:after="0" w:line="240" w:lineRule="auto"/>
        <w:contextualSpacing/>
        <w:jc w:val="both"/>
        <w:rPr>
          <w:rFonts w:asciiTheme="majorBidi" w:hAnsiTheme="majorBidi" w:cstheme="majorBidi"/>
        </w:rPr>
      </w:pPr>
      <w:r>
        <w:rPr>
          <w:rFonts w:asciiTheme="majorBidi" w:hAnsiTheme="majorBidi" w:cstheme="majorBidi"/>
        </w:rPr>
        <w:br w:type="page"/>
      </w:r>
    </w:p>
    <w:p w14:paraId="08D4F05D" w14:textId="54F4E3F4" w:rsidR="006104F0" w:rsidRPr="006104F0" w:rsidRDefault="006104F0" w:rsidP="006104F0">
      <w:pPr>
        <w:spacing w:after="0" w:line="240" w:lineRule="auto"/>
        <w:contextualSpacing/>
        <w:jc w:val="both"/>
        <w:rPr>
          <w:rFonts w:asciiTheme="majorBidi" w:hAnsiTheme="majorBidi" w:cstheme="majorBidi"/>
          <w:b/>
          <w:bCs/>
          <w:sz w:val="24"/>
          <w:szCs w:val="24"/>
        </w:rPr>
      </w:pPr>
      <w:r w:rsidRPr="006104F0">
        <w:rPr>
          <w:rFonts w:asciiTheme="majorBidi" w:hAnsiTheme="majorBidi" w:cstheme="majorBidi"/>
          <w:b/>
          <w:bCs/>
          <w:sz w:val="24"/>
          <w:szCs w:val="24"/>
        </w:rPr>
        <w:lastRenderedPageBreak/>
        <w:t xml:space="preserve">Introduction  </w:t>
      </w:r>
    </w:p>
    <w:p w14:paraId="6C15DBF3"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Architecture and culture, two delicate elements in defining the identity of a society and representing the grandeur of a nation's civilization, have now been disrupted due to the challenges of providing housing and ensuring the welfare of citizens. The symbols once used to reflect the cultural and social values of a society have been forgotten. Architecture is one of the subtle elements that reflects the identity of communities. The choice of location for housing construction, its external form and internal structure, the materials used, and the symbols incorporated into housing design all convey the culture, civilization, and values upheld by that society.  </w:t>
      </w:r>
    </w:p>
    <w:p w14:paraId="35D4DEF2" w14:textId="0BAE2F33"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The concept of affordable housing emerged in the 19th century in response to the problem of housing shortages, slums, and inadequate housing conditions. Affordable housing can lead to the provision of suitable housing, which improves human health, work efficiency, and overall social and economic development (</w:t>
      </w:r>
      <w:proofErr w:type="spellStart"/>
      <w:r w:rsidRPr="006104F0">
        <w:rPr>
          <w:rFonts w:asciiTheme="majorBidi" w:hAnsiTheme="majorBidi" w:cstheme="majorBidi"/>
        </w:rPr>
        <w:t>Hulchanski</w:t>
      </w:r>
      <w:proofErr w:type="spellEnd"/>
      <w:r w:rsidRPr="006104F0">
        <w:rPr>
          <w:rFonts w:asciiTheme="majorBidi" w:hAnsiTheme="majorBidi" w:cstheme="majorBidi"/>
        </w:rPr>
        <w:t xml:space="preserve">, 1995). The increasing crisis in housing demand, particularly for the weaker sections of society, has led policymakers to intensify their efforts to establish building standards and regulations to address this issue. However, this has resulted in challenges where traditional and modern spaces have merged without considering social and cultural norms, leading not only to visual chaos and the loss of the original identity of communities but also to overcrowding and the proliferation of high-density residential blocks in small areas. This has caused dissatisfaction among residents and the erosion of human values.  </w:t>
      </w:r>
    </w:p>
    <w:p w14:paraId="557427FB"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For example, population growth is an undeniable factor in this issue. It is projected that the urban population of the world will reach 6.3 billion by 2050, with 94% of this growth occurring in developing countries, exacerbating the situation (Gan et al., 2017). Consequently, housing the weaker sections of society is a significant challenge for developing countries in the process of urbanization. The importance of this issue is such that it has been placed on the agenda of governments, with significant efforts being made to improve the living conditions of low-income households (Lin et al., 2015).  </w:t>
      </w:r>
    </w:p>
    <w:p w14:paraId="6E12DA71"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On one hand, since this type of housing is often built for the weaker sections of society, achieving an appropriate final price has led to the selection of peripheral urban areas for construction, resulting in the use of conventional materials and architecture without considering the identity of the community. On the other hand, the affordable prices of these buildings have attracted speculators, leading to increased housing demand, a rise in vacant residential units, and ultimately, abnormally high prices for these units (</w:t>
      </w:r>
      <w:proofErr w:type="spellStart"/>
      <w:r w:rsidRPr="006104F0">
        <w:rPr>
          <w:rFonts w:asciiTheme="majorBidi" w:hAnsiTheme="majorBidi" w:cstheme="majorBidi"/>
        </w:rPr>
        <w:t>Maghidi</w:t>
      </w:r>
      <w:proofErr w:type="spellEnd"/>
      <w:r w:rsidRPr="006104F0">
        <w:rPr>
          <w:rFonts w:asciiTheme="majorBidi" w:hAnsiTheme="majorBidi" w:cstheme="majorBidi"/>
        </w:rPr>
        <w:t xml:space="preserve"> et al., 2021).  </w:t>
      </w:r>
    </w:p>
    <w:p w14:paraId="6191CA91"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Moreover, if in past decades the sole focus was on providing affordable housing, today the construction of affordable housing that is environmentally sustainable, energy-efficient, and preferably renewable is also a fundamental issue (Yeganeh et al., 2021). In other words, the primary issue today is not just the shortage of affordable housing and its misalignment with cultural and social values, but also the scarcity of energy resources and the compatibility of these buildings with environmental infrastructure.  </w:t>
      </w:r>
    </w:p>
    <w:p w14:paraId="0E727E69"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In this context, pandemics such as COVID-19 have created conditions where individuals move less due to health concerns, placing additional financial pressure on them. This pandemic, which has led to increased homelessness and unemployment for many, has significantly highlighted the importance of affordable housing (Riley et al., 2021). The disease spread more rapidly due to homelessness and communal living, exacerbating the health crisis. Unemployment also increases the demand for affordable housing, as individuals have fewer resources to cover living expenses.  </w:t>
      </w:r>
    </w:p>
    <w:p w14:paraId="0E1A43B9"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Interestingly, despite policies targeting affordable housing for low-income families, in practice, the target group often shifts to middle-income families, and the claim that the housing needs of low-income individuals are being met is largely exaggerated and contrary to reality (Zhang, 2020). This means that at all levels of government policymaking, the relationship between social policy and financial markets is influenced by the prevailing ideology, and the extent and pattern of its manifestation vary.  </w:t>
      </w:r>
    </w:p>
    <w:p w14:paraId="6A6A13F6"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Policymakers worldwide are seeking solutions to improve affordable housing. They use policy tools such as rent control, zoning, and similar measures to manage this situation. However, despite numerous efforts in this area, there is no empirically or theoretically balanced general model that can assess the impact of these policies on citizen welfare and urban development. In fact, housing prices (both ownership and rental), the spatial distribution of housing and households, commuting patterns, work incentives, income and wealth </w:t>
      </w:r>
      <w:r w:rsidRPr="006104F0">
        <w:rPr>
          <w:rFonts w:asciiTheme="majorBidi" w:hAnsiTheme="majorBidi" w:cstheme="majorBidi"/>
        </w:rPr>
        <w:lastRenderedPageBreak/>
        <w:t>inequality in local contexts, intra- and inter-urban migration, and even migration between urban regions are all challenges that must be considered in planning for citizen housing (</w:t>
      </w:r>
      <w:proofErr w:type="spellStart"/>
      <w:r w:rsidRPr="006104F0">
        <w:rPr>
          <w:rFonts w:asciiTheme="majorBidi" w:hAnsiTheme="majorBidi" w:cstheme="majorBidi"/>
        </w:rPr>
        <w:t>Favilukis</w:t>
      </w:r>
      <w:proofErr w:type="spellEnd"/>
      <w:r w:rsidRPr="006104F0">
        <w:rPr>
          <w:rFonts w:asciiTheme="majorBidi" w:hAnsiTheme="majorBidi" w:cstheme="majorBidi"/>
        </w:rPr>
        <w:t xml:space="preserve"> et al., 2019).  </w:t>
      </w:r>
    </w:p>
    <w:p w14:paraId="6BABDA3D"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In Iran, according to Article 31 of the Constitution of the Islamic Republic, housing is a right for every Iranian family. However, rapid population growth, especially among migrants, ethnic diversity (due to historical changes and generational wars in this land), the imbalance between housing demand and supply (due to the entry of speculators into these markets), inflation, international sanctions, increased economic pressure on families, the COVID-19 pandemic, and the inability of families to cover living expenses have all directed policymakers toward affordable housing. However, the lack of proper and precise planning and implementation mechanisms has led to the failure of these efforts. Inappropriate location selection, uniform construction without adhering to fundamental urban infrastructure, and the disregard for the social and historical identity of the community have challenged the strategies for public and affordable housing for low-income groups.  </w:t>
      </w:r>
    </w:p>
    <w:p w14:paraId="46D1EAE9"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The performance of large-scale housing projects such as </w:t>
      </w:r>
      <w:proofErr w:type="spellStart"/>
      <w:r w:rsidRPr="006104F0">
        <w:rPr>
          <w:rFonts w:asciiTheme="majorBidi" w:hAnsiTheme="majorBidi" w:cstheme="majorBidi"/>
        </w:rPr>
        <w:t>Mehr</w:t>
      </w:r>
      <w:proofErr w:type="spellEnd"/>
      <w:r w:rsidRPr="006104F0">
        <w:rPr>
          <w:rFonts w:asciiTheme="majorBidi" w:hAnsiTheme="majorBidi" w:cstheme="majorBidi"/>
        </w:rPr>
        <w:t xml:space="preserve"> Housing, National Housing, and similar projects like </w:t>
      </w:r>
      <w:proofErr w:type="spellStart"/>
      <w:r w:rsidRPr="006104F0">
        <w:rPr>
          <w:rFonts w:asciiTheme="majorBidi" w:hAnsiTheme="majorBidi" w:cstheme="majorBidi"/>
        </w:rPr>
        <w:t>Pardis</w:t>
      </w:r>
      <w:proofErr w:type="spellEnd"/>
      <w:r w:rsidRPr="006104F0">
        <w:rPr>
          <w:rFonts w:asciiTheme="majorBidi" w:hAnsiTheme="majorBidi" w:cstheme="majorBidi"/>
        </w:rPr>
        <w:t xml:space="preserve"> and </w:t>
      </w:r>
      <w:proofErr w:type="spellStart"/>
      <w:r w:rsidRPr="006104F0">
        <w:rPr>
          <w:rFonts w:asciiTheme="majorBidi" w:hAnsiTheme="majorBidi" w:cstheme="majorBidi"/>
        </w:rPr>
        <w:t>Hashtgerd</w:t>
      </w:r>
      <w:proofErr w:type="spellEnd"/>
      <w:r w:rsidRPr="006104F0">
        <w:rPr>
          <w:rFonts w:asciiTheme="majorBidi" w:hAnsiTheme="majorBidi" w:cstheme="majorBidi"/>
        </w:rPr>
        <w:t xml:space="preserve"> has not achieved the desired results. This issue is evident not only in cities but also in rural areas, where policies and guidelines have often failed.  </w:t>
      </w:r>
    </w:p>
    <w:p w14:paraId="3FAB179F" w14:textId="77777777" w:rsidR="006104F0" w:rsidRPr="006104F0"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 xml:space="preserve">Given the widespread impacts of this type of housing across various dimensions—demographic, health, economic, identity, cultural and social, environmental, political, and energy management—which also affect future generations, it is necessary to consider these effects with a long-term and comprehensive perspective. The policies adopted so far have been one-dimensional, often focusing solely on the economic aspects of the livelihood of low-income individuals, and even the prevailing discourse has failed to assist these individuals. Therefore, it is essential to examine this issue comprehensively and propose diverse strategies and solutions.  </w:t>
      </w:r>
    </w:p>
    <w:p w14:paraId="135B52FE" w14:textId="115D0A48" w:rsidR="008655BD" w:rsidRDefault="006104F0" w:rsidP="006104F0">
      <w:pPr>
        <w:spacing w:after="0" w:line="240" w:lineRule="auto"/>
        <w:contextualSpacing/>
        <w:jc w:val="both"/>
        <w:rPr>
          <w:rFonts w:asciiTheme="majorBidi" w:hAnsiTheme="majorBidi" w:cstheme="majorBidi"/>
        </w:rPr>
      </w:pPr>
      <w:r w:rsidRPr="006104F0">
        <w:rPr>
          <w:rFonts w:asciiTheme="majorBidi" w:hAnsiTheme="majorBidi" w:cstheme="majorBidi"/>
        </w:rPr>
        <w:t>Thus, this research addresses the fundamental question: What are the factors influencing the provision of affordable housing based on socio-cultural patterns in Iran? The findings of this research can contribute to planning for addressing existing challenges and achieving goals simultaneously.</w:t>
      </w:r>
    </w:p>
    <w:p w14:paraId="396014B1" w14:textId="3606AE68" w:rsidR="001341EE" w:rsidRDefault="001341EE" w:rsidP="006104F0">
      <w:pPr>
        <w:spacing w:after="0" w:line="240" w:lineRule="auto"/>
        <w:contextualSpacing/>
        <w:jc w:val="both"/>
        <w:rPr>
          <w:rFonts w:asciiTheme="majorBidi" w:hAnsiTheme="majorBidi" w:cstheme="majorBidi"/>
        </w:rPr>
      </w:pPr>
    </w:p>
    <w:p w14:paraId="1D673590" w14:textId="77777777" w:rsidR="001341EE" w:rsidRDefault="001341EE" w:rsidP="001341EE">
      <w:pPr>
        <w:spacing w:after="0" w:line="240" w:lineRule="auto"/>
        <w:contextualSpacing/>
        <w:jc w:val="both"/>
        <w:rPr>
          <w:rFonts w:asciiTheme="majorBidi" w:hAnsiTheme="majorBidi" w:cstheme="majorBidi"/>
          <w:b/>
          <w:bCs/>
        </w:rPr>
      </w:pPr>
      <w:r w:rsidRPr="001341EE">
        <w:rPr>
          <w:rFonts w:asciiTheme="majorBidi" w:hAnsiTheme="majorBidi" w:cstheme="majorBidi"/>
          <w:b/>
          <w:bCs/>
        </w:rPr>
        <w:t>Theoretical Foundations and Background</w:t>
      </w:r>
    </w:p>
    <w:p w14:paraId="41A16C8B" w14:textId="7CE38410" w:rsidR="001341EE" w:rsidRPr="001341EE" w:rsidRDefault="001341EE" w:rsidP="001341EE">
      <w:pPr>
        <w:spacing w:after="0" w:line="240" w:lineRule="auto"/>
        <w:contextualSpacing/>
        <w:jc w:val="both"/>
        <w:rPr>
          <w:rFonts w:asciiTheme="majorBidi" w:hAnsiTheme="majorBidi" w:cstheme="majorBidi"/>
        </w:rPr>
      </w:pPr>
      <w:r w:rsidRPr="001341EE">
        <w:rPr>
          <w:rFonts w:asciiTheme="majorBidi" w:hAnsiTheme="majorBidi" w:cstheme="majorBidi"/>
        </w:rPr>
        <w:t xml:space="preserve">The term "housing" is used in both the process and the final product (Reeves, 2014). Housing can be considered a commodity or a service with value, which can be both essential and luxurious (Reeves, 2014). Economic literature has paid special attention to the concept of "housing," although there is no common definition. Researchers have defined the concept of "housing" in various ways. For example, Smith (1776) viewed housing as a commodity, Ricardo (1917) as a tangible asset with potential returns, </w:t>
      </w:r>
      <w:r w:rsidR="00BF1010" w:rsidRPr="00BF1010">
        <w:rPr>
          <w:rFonts w:asciiTheme="majorBidi" w:hAnsiTheme="majorBidi" w:cstheme="majorBidi"/>
        </w:rPr>
        <w:t>Jevons</w:t>
      </w:r>
      <w:r w:rsidR="00BF1010" w:rsidRPr="00BF1010">
        <w:rPr>
          <w:rFonts w:asciiTheme="majorBidi" w:hAnsiTheme="majorBidi" w:cstheme="majorBidi"/>
        </w:rPr>
        <w:t xml:space="preserve"> </w:t>
      </w:r>
      <w:r w:rsidRPr="001341EE">
        <w:rPr>
          <w:rFonts w:asciiTheme="majorBidi" w:hAnsiTheme="majorBidi" w:cstheme="majorBidi"/>
        </w:rPr>
        <w:t>(1871) as a fixed asset regardless of ownership or rental, and Marshall (1890) as capital similar to a vehicle if worked upon, otherwise considered as a commodity. Researchers such as Grimes and Orville (1976) explained that in the past, the concept of housing was associated with physical phenomena, and national policies for its provision were largely related to construction costs, which could vary significantly depending on building materials, housing standards, and construction quality.</w:t>
      </w:r>
    </w:p>
    <w:p w14:paraId="68CDE4CA" w14:textId="77777777" w:rsidR="001341EE" w:rsidRPr="001341EE" w:rsidRDefault="001341EE" w:rsidP="001341EE">
      <w:pPr>
        <w:spacing w:after="0" w:line="240" w:lineRule="auto"/>
        <w:contextualSpacing/>
        <w:jc w:val="both"/>
        <w:rPr>
          <w:rFonts w:asciiTheme="majorBidi" w:hAnsiTheme="majorBidi" w:cstheme="majorBidi"/>
        </w:rPr>
      </w:pPr>
      <w:r w:rsidRPr="001341EE">
        <w:rPr>
          <w:rFonts w:asciiTheme="majorBidi" w:hAnsiTheme="majorBidi" w:cstheme="majorBidi"/>
        </w:rPr>
        <w:t>Within the framework of housing policies, Torgersen (1987) explains that the concept of "housing" is a shaky pillar in the welfare system of governments because, unlike health and education, the state does not consider it a core service.</w:t>
      </w:r>
    </w:p>
    <w:p w14:paraId="3DCF007C" w14:textId="77777777" w:rsidR="001341EE" w:rsidRPr="001341EE" w:rsidRDefault="001341EE" w:rsidP="001341EE">
      <w:pPr>
        <w:spacing w:after="0" w:line="240" w:lineRule="auto"/>
        <w:contextualSpacing/>
        <w:jc w:val="both"/>
        <w:rPr>
          <w:rFonts w:asciiTheme="majorBidi" w:hAnsiTheme="majorBidi" w:cstheme="majorBidi"/>
        </w:rPr>
      </w:pPr>
      <w:r w:rsidRPr="001341EE">
        <w:rPr>
          <w:rFonts w:asciiTheme="majorBidi" w:hAnsiTheme="majorBidi" w:cstheme="majorBidi"/>
        </w:rPr>
        <w:t>Over time, different approaches to "housing" have emerged, influenced by changes in economic policies and other fields. Webster's Dictionary defines "housing" as "houses provided for people." The Business Dictionary defines housing as a building or structure that complies with legal and regulatory requirements and serves as a place for individuals to live with their families. A similar definition is found in the Macmillan Dictionary, which describes housing as buildings where people live.</w:t>
      </w:r>
    </w:p>
    <w:p w14:paraId="49526C7D" w14:textId="77777777" w:rsidR="001341EE" w:rsidRPr="001341EE" w:rsidRDefault="001341EE" w:rsidP="001341EE">
      <w:pPr>
        <w:spacing w:after="0" w:line="240" w:lineRule="auto"/>
        <w:contextualSpacing/>
        <w:jc w:val="both"/>
        <w:rPr>
          <w:rFonts w:asciiTheme="majorBidi" w:hAnsiTheme="majorBidi" w:cstheme="majorBidi"/>
        </w:rPr>
      </w:pPr>
      <w:r w:rsidRPr="001341EE">
        <w:rPr>
          <w:rFonts w:asciiTheme="majorBidi" w:hAnsiTheme="majorBidi" w:cstheme="majorBidi"/>
        </w:rPr>
        <w:t xml:space="preserve">The concept of "housing" is similar to that of "home," which </w:t>
      </w:r>
      <w:proofErr w:type="spellStart"/>
      <w:r w:rsidRPr="001341EE">
        <w:rPr>
          <w:rFonts w:asciiTheme="majorBidi" w:hAnsiTheme="majorBidi" w:cstheme="majorBidi"/>
        </w:rPr>
        <w:t>Melnikas</w:t>
      </w:r>
      <w:proofErr w:type="spellEnd"/>
      <w:r w:rsidRPr="001341EE">
        <w:rPr>
          <w:rFonts w:asciiTheme="majorBidi" w:hAnsiTheme="majorBidi" w:cstheme="majorBidi"/>
        </w:rPr>
        <w:t xml:space="preserve"> (1998) defines as a specific and relatively limited physical space where individuals and groups can engage in social life by receiving services, performing household tasks, and other activities.</w:t>
      </w:r>
    </w:p>
    <w:p w14:paraId="7A18D046" w14:textId="61E1B7EA" w:rsidR="001341EE" w:rsidRPr="001341EE" w:rsidRDefault="00BF1010" w:rsidP="001341EE">
      <w:pPr>
        <w:spacing w:after="0" w:line="240" w:lineRule="auto"/>
        <w:contextualSpacing/>
        <w:jc w:val="both"/>
        <w:rPr>
          <w:rFonts w:asciiTheme="majorBidi" w:hAnsiTheme="majorBidi" w:cstheme="majorBidi"/>
        </w:rPr>
      </w:pPr>
      <w:proofErr w:type="spellStart"/>
      <w:r w:rsidRPr="00BF1010">
        <w:rPr>
          <w:rFonts w:asciiTheme="majorBidi" w:hAnsiTheme="majorBidi" w:cstheme="majorBidi"/>
        </w:rPr>
        <w:t>Henilane</w:t>
      </w:r>
      <w:proofErr w:type="spellEnd"/>
      <w:r w:rsidRPr="00BF1010">
        <w:rPr>
          <w:rFonts w:asciiTheme="majorBidi" w:hAnsiTheme="majorBidi" w:cstheme="majorBidi"/>
        </w:rPr>
        <w:t xml:space="preserve"> </w:t>
      </w:r>
      <w:r w:rsidR="001341EE" w:rsidRPr="001341EE">
        <w:rPr>
          <w:rFonts w:asciiTheme="majorBidi" w:hAnsiTheme="majorBidi" w:cstheme="majorBidi"/>
        </w:rPr>
        <w:t xml:space="preserve">(2016) believes that today's focus on housing is more on the benefits and costs of housing. This means that having a comfortable, suitable, and dignified home is considered, but at the same time, energy </w:t>
      </w:r>
      <w:r w:rsidR="001341EE" w:rsidRPr="001341EE">
        <w:rPr>
          <w:rFonts w:asciiTheme="majorBidi" w:hAnsiTheme="majorBidi" w:cstheme="majorBidi"/>
        </w:rPr>
        <w:lastRenderedPageBreak/>
        <w:t>efficiency, affordable purchase costs, and maintenance costs proportional to the benefits received from owning the home are also key criteria in housing selection.</w:t>
      </w:r>
    </w:p>
    <w:p w14:paraId="24FAF79B" w14:textId="77777777" w:rsidR="001341EE" w:rsidRPr="001341EE" w:rsidRDefault="001341EE" w:rsidP="001341EE">
      <w:pPr>
        <w:spacing w:after="0" w:line="240" w:lineRule="auto"/>
        <w:contextualSpacing/>
        <w:jc w:val="both"/>
        <w:rPr>
          <w:rFonts w:asciiTheme="majorBidi" w:hAnsiTheme="majorBidi" w:cstheme="majorBidi"/>
        </w:rPr>
      </w:pPr>
      <w:proofErr w:type="spellStart"/>
      <w:r w:rsidRPr="001341EE">
        <w:rPr>
          <w:rFonts w:asciiTheme="majorBidi" w:hAnsiTheme="majorBidi" w:cstheme="majorBidi"/>
        </w:rPr>
        <w:t>Sidelska</w:t>
      </w:r>
      <w:proofErr w:type="spellEnd"/>
      <w:r w:rsidRPr="001341EE">
        <w:rPr>
          <w:rFonts w:asciiTheme="majorBidi" w:hAnsiTheme="majorBidi" w:cstheme="majorBidi"/>
        </w:rPr>
        <w:t xml:space="preserve"> (2014), in the context of the housing market as an element of regional socio-economic development, refers to housing as real estate or part of a non-residential building that has been used for residential purposes for years. In Donner's (2000) research on housing policies in 15 European Union countries, where the theoretical and practical aspects of housing policies were examined, the concept of housing is defined with various similar and interrelated terms, such as low-cost housing, social housing, subsidized housing, and substandard housing. Housing is classified based on type, size, facilities, location, the demographic group residing in it, ownership type, construction period, building materials used, and energy efficiency indicators. Developed classifications of housing based on various characteristics are only part of the main housing classification and can be supplemented with other categories. Table 1 briefly illustrates this classification.</w:t>
      </w:r>
    </w:p>
    <w:p w14:paraId="395D9908" w14:textId="46BC16B9" w:rsidR="001341EE" w:rsidRDefault="001341EE" w:rsidP="006104F0">
      <w:pPr>
        <w:spacing w:after="0" w:line="240" w:lineRule="auto"/>
        <w:contextualSpacing/>
        <w:jc w:val="both"/>
        <w:rPr>
          <w:rFonts w:asciiTheme="majorBidi" w:hAnsiTheme="majorBidi" w:cstheme="majorBidi"/>
        </w:rPr>
      </w:pPr>
    </w:p>
    <w:p w14:paraId="77E4BE5D" w14:textId="77777777" w:rsidR="00BF1010" w:rsidRPr="00BF1010" w:rsidRDefault="00BF1010" w:rsidP="00186732">
      <w:pPr>
        <w:spacing w:after="0" w:line="240" w:lineRule="auto"/>
        <w:contextualSpacing/>
        <w:jc w:val="center"/>
        <w:rPr>
          <w:rFonts w:asciiTheme="majorBidi" w:hAnsiTheme="majorBidi" w:cstheme="majorBidi"/>
          <w:sz w:val="20"/>
          <w:szCs w:val="20"/>
        </w:rPr>
      </w:pPr>
      <w:r w:rsidRPr="00BF1010">
        <w:rPr>
          <w:rFonts w:asciiTheme="majorBidi" w:hAnsiTheme="majorBidi" w:cstheme="majorBidi"/>
          <w:b/>
          <w:bCs/>
          <w:sz w:val="20"/>
          <w:szCs w:val="20"/>
        </w:rPr>
        <w:t xml:space="preserve">Table (1): Housing Classification (Source: </w:t>
      </w:r>
      <w:proofErr w:type="spellStart"/>
      <w:r w:rsidRPr="00BF1010">
        <w:rPr>
          <w:rFonts w:asciiTheme="majorBidi" w:hAnsiTheme="majorBidi" w:cstheme="majorBidi"/>
          <w:b/>
          <w:bCs/>
          <w:sz w:val="20"/>
          <w:szCs w:val="20"/>
        </w:rPr>
        <w:t>Henilan</w:t>
      </w:r>
      <w:proofErr w:type="spellEnd"/>
      <w:r w:rsidRPr="00BF1010">
        <w:rPr>
          <w:rFonts w:asciiTheme="majorBidi" w:hAnsiTheme="majorBidi" w:cstheme="majorBidi"/>
          <w:b/>
          <w:bCs/>
          <w:sz w:val="20"/>
          <w:szCs w:val="20"/>
        </w:rPr>
        <w:t>, 2016)</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7041"/>
      </w:tblGrid>
      <w:tr w:rsidR="00BF1010" w:rsidRPr="00BF1010" w14:paraId="02DFA19A" w14:textId="77777777" w:rsidTr="00BF1010">
        <w:trPr>
          <w:tblHeader/>
          <w:jc w:val="center"/>
        </w:trPr>
        <w:tc>
          <w:tcPr>
            <w:tcW w:w="0" w:type="auto"/>
            <w:tcMar>
              <w:top w:w="15" w:type="dxa"/>
              <w:left w:w="0" w:type="dxa"/>
              <w:bottom w:w="15" w:type="dxa"/>
              <w:right w:w="15" w:type="dxa"/>
            </w:tcMar>
            <w:vAlign w:val="center"/>
            <w:hideMark/>
          </w:tcPr>
          <w:p w14:paraId="1D67E2A9" w14:textId="77777777" w:rsidR="00BF1010" w:rsidRPr="00BF1010" w:rsidRDefault="00BF1010" w:rsidP="00BF1010">
            <w:pPr>
              <w:spacing w:after="0" w:line="240" w:lineRule="auto"/>
              <w:contextualSpacing/>
              <w:rPr>
                <w:rFonts w:asciiTheme="majorBidi" w:hAnsiTheme="majorBidi" w:cstheme="majorBidi"/>
                <w:b/>
                <w:bCs/>
                <w:sz w:val="20"/>
                <w:szCs w:val="20"/>
              </w:rPr>
            </w:pPr>
            <w:r w:rsidRPr="00BF1010">
              <w:rPr>
                <w:rFonts w:asciiTheme="majorBidi" w:hAnsiTheme="majorBidi" w:cstheme="majorBidi"/>
                <w:b/>
                <w:bCs/>
                <w:sz w:val="20"/>
                <w:szCs w:val="20"/>
              </w:rPr>
              <w:t>Types of Housing Classification</w:t>
            </w:r>
          </w:p>
        </w:tc>
        <w:tc>
          <w:tcPr>
            <w:tcW w:w="0" w:type="auto"/>
            <w:vAlign w:val="center"/>
            <w:hideMark/>
          </w:tcPr>
          <w:p w14:paraId="356F1E06" w14:textId="77777777" w:rsidR="00BF1010" w:rsidRPr="00BF1010" w:rsidRDefault="00BF1010" w:rsidP="00BF1010">
            <w:pPr>
              <w:spacing w:after="0" w:line="240" w:lineRule="auto"/>
              <w:contextualSpacing/>
              <w:jc w:val="both"/>
              <w:rPr>
                <w:rFonts w:asciiTheme="majorBidi" w:hAnsiTheme="majorBidi" w:cstheme="majorBidi"/>
                <w:b/>
                <w:bCs/>
                <w:sz w:val="20"/>
                <w:szCs w:val="20"/>
              </w:rPr>
            </w:pPr>
            <w:r w:rsidRPr="00BF1010">
              <w:rPr>
                <w:rFonts w:asciiTheme="majorBidi" w:hAnsiTheme="majorBidi" w:cstheme="majorBidi"/>
                <w:b/>
                <w:bCs/>
                <w:sz w:val="20"/>
                <w:szCs w:val="20"/>
              </w:rPr>
              <w:t>Characteristics</w:t>
            </w:r>
          </w:p>
        </w:tc>
      </w:tr>
      <w:tr w:rsidR="00BF1010" w:rsidRPr="00BF1010" w14:paraId="6DC7FCBC" w14:textId="77777777" w:rsidTr="00BF1010">
        <w:trPr>
          <w:jc w:val="center"/>
        </w:trPr>
        <w:tc>
          <w:tcPr>
            <w:tcW w:w="0" w:type="auto"/>
            <w:tcMar>
              <w:top w:w="15" w:type="dxa"/>
              <w:left w:w="0" w:type="dxa"/>
              <w:bottom w:w="15" w:type="dxa"/>
              <w:right w:w="15" w:type="dxa"/>
            </w:tcMar>
            <w:vAlign w:val="center"/>
            <w:hideMark/>
          </w:tcPr>
          <w:p w14:paraId="5847471E"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Type of Residence</w:t>
            </w:r>
          </w:p>
        </w:tc>
        <w:tc>
          <w:tcPr>
            <w:tcW w:w="0" w:type="auto"/>
            <w:vAlign w:val="center"/>
            <w:hideMark/>
          </w:tcPr>
          <w:p w14:paraId="41803041"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Living in an apartment/Apartment within a building of apartments/Residential complex buildings (multi-apartment)/Relatives' house/Other</w:t>
            </w:r>
          </w:p>
        </w:tc>
      </w:tr>
      <w:tr w:rsidR="00BF1010" w:rsidRPr="00BF1010" w14:paraId="7DE613BD" w14:textId="77777777" w:rsidTr="00BF1010">
        <w:trPr>
          <w:jc w:val="center"/>
        </w:trPr>
        <w:tc>
          <w:tcPr>
            <w:tcW w:w="0" w:type="auto"/>
            <w:tcMar>
              <w:top w:w="15" w:type="dxa"/>
              <w:left w:w="0" w:type="dxa"/>
              <w:bottom w:w="15" w:type="dxa"/>
              <w:right w:w="15" w:type="dxa"/>
            </w:tcMar>
            <w:vAlign w:val="center"/>
            <w:hideMark/>
          </w:tcPr>
          <w:p w14:paraId="2C37B14F"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Size of House</w:t>
            </w:r>
          </w:p>
        </w:tc>
        <w:tc>
          <w:tcPr>
            <w:tcW w:w="0" w:type="auto"/>
            <w:vAlign w:val="center"/>
            <w:hideMark/>
          </w:tcPr>
          <w:p w14:paraId="6F99E4A9"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One-room/One-room apartment/Two-room apartment/Three-room apartment and larger/Relatives' house/Other</w:t>
            </w:r>
          </w:p>
        </w:tc>
      </w:tr>
      <w:tr w:rsidR="00BF1010" w:rsidRPr="00BF1010" w14:paraId="5C473795" w14:textId="77777777" w:rsidTr="00BF1010">
        <w:trPr>
          <w:jc w:val="center"/>
        </w:trPr>
        <w:tc>
          <w:tcPr>
            <w:tcW w:w="0" w:type="auto"/>
            <w:tcMar>
              <w:top w:w="15" w:type="dxa"/>
              <w:left w:w="0" w:type="dxa"/>
              <w:bottom w:w="15" w:type="dxa"/>
              <w:right w:w="15" w:type="dxa"/>
            </w:tcMar>
            <w:vAlign w:val="center"/>
            <w:hideMark/>
          </w:tcPr>
          <w:p w14:paraId="7E902CAC"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Amenities</w:t>
            </w:r>
          </w:p>
        </w:tc>
        <w:tc>
          <w:tcPr>
            <w:tcW w:w="0" w:type="auto"/>
            <w:vAlign w:val="center"/>
            <w:hideMark/>
          </w:tcPr>
          <w:p w14:paraId="7C0EBBCA"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With all amenities/Partially equipped with amenities/Without amenities</w:t>
            </w:r>
          </w:p>
        </w:tc>
      </w:tr>
      <w:tr w:rsidR="00BF1010" w:rsidRPr="00BF1010" w14:paraId="167B6489" w14:textId="77777777" w:rsidTr="00BF1010">
        <w:trPr>
          <w:jc w:val="center"/>
        </w:trPr>
        <w:tc>
          <w:tcPr>
            <w:tcW w:w="0" w:type="auto"/>
            <w:tcMar>
              <w:top w:w="15" w:type="dxa"/>
              <w:left w:w="0" w:type="dxa"/>
              <w:bottom w:w="15" w:type="dxa"/>
              <w:right w:w="15" w:type="dxa"/>
            </w:tcMar>
            <w:vAlign w:val="center"/>
            <w:hideMark/>
          </w:tcPr>
          <w:p w14:paraId="332C2B11"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Location of House</w:t>
            </w:r>
          </w:p>
        </w:tc>
        <w:tc>
          <w:tcPr>
            <w:tcW w:w="0" w:type="auto"/>
            <w:vAlign w:val="center"/>
            <w:hideMark/>
          </w:tcPr>
          <w:p w14:paraId="407D0025"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In the city/In rural areas</w:t>
            </w:r>
          </w:p>
        </w:tc>
      </w:tr>
      <w:tr w:rsidR="00BF1010" w:rsidRPr="00BF1010" w14:paraId="671353FA" w14:textId="77777777" w:rsidTr="00BF1010">
        <w:trPr>
          <w:jc w:val="center"/>
        </w:trPr>
        <w:tc>
          <w:tcPr>
            <w:tcW w:w="0" w:type="auto"/>
            <w:tcMar>
              <w:top w:w="15" w:type="dxa"/>
              <w:left w:w="0" w:type="dxa"/>
              <w:bottom w:w="15" w:type="dxa"/>
              <w:right w:w="15" w:type="dxa"/>
            </w:tcMar>
            <w:vAlign w:val="center"/>
            <w:hideMark/>
          </w:tcPr>
          <w:p w14:paraId="16CC8E20"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Demographic Group Residing in the House</w:t>
            </w:r>
          </w:p>
        </w:tc>
        <w:tc>
          <w:tcPr>
            <w:tcW w:w="0" w:type="auto"/>
            <w:vAlign w:val="center"/>
            <w:hideMark/>
          </w:tcPr>
          <w:p w14:paraId="40751780"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Any type of residents/Low-income individuals or high-risk social groups</w:t>
            </w:r>
          </w:p>
        </w:tc>
      </w:tr>
      <w:tr w:rsidR="00BF1010" w:rsidRPr="00BF1010" w14:paraId="4FC2EABB" w14:textId="77777777" w:rsidTr="00BF1010">
        <w:trPr>
          <w:jc w:val="center"/>
        </w:trPr>
        <w:tc>
          <w:tcPr>
            <w:tcW w:w="0" w:type="auto"/>
            <w:tcMar>
              <w:top w:w="15" w:type="dxa"/>
              <w:left w:w="0" w:type="dxa"/>
              <w:bottom w:w="15" w:type="dxa"/>
              <w:right w:w="15" w:type="dxa"/>
            </w:tcMar>
            <w:vAlign w:val="center"/>
            <w:hideMark/>
          </w:tcPr>
          <w:p w14:paraId="6B898CC9"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Ownership Rights</w:t>
            </w:r>
          </w:p>
        </w:tc>
        <w:tc>
          <w:tcPr>
            <w:tcW w:w="0" w:type="auto"/>
            <w:vAlign w:val="center"/>
            <w:hideMark/>
          </w:tcPr>
          <w:p w14:paraId="16EAFB99"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State-owned housing/Municipality-owned housing/Privately owned housing/Corporate-owned housing/Other</w:t>
            </w:r>
          </w:p>
        </w:tc>
      </w:tr>
      <w:tr w:rsidR="00BF1010" w:rsidRPr="00BF1010" w14:paraId="5E038C14" w14:textId="77777777" w:rsidTr="00BF1010">
        <w:trPr>
          <w:jc w:val="center"/>
        </w:trPr>
        <w:tc>
          <w:tcPr>
            <w:tcW w:w="0" w:type="auto"/>
            <w:tcMar>
              <w:top w:w="15" w:type="dxa"/>
              <w:left w:w="0" w:type="dxa"/>
              <w:bottom w:w="15" w:type="dxa"/>
              <w:right w:w="15" w:type="dxa"/>
            </w:tcMar>
            <w:vAlign w:val="center"/>
            <w:hideMark/>
          </w:tcPr>
          <w:p w14:paraId="03B3F316"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Construction Period</w:t>
            </w:r>
          </w:p>
        </w:tc>
        <w:tc>
          <w:tcPr>
            <w:tcW w:w="0" w:type="auto"/>
            <w:vAlign w:val="center"/>
            <w:hideMark/>
          </w:tcPr>
          <w:p w14:paraId="29813CBB"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Houses built before World War II/Houses built between 1945 and 1990/Houses built from 1990 to present</w:t>
            </w:r>
          </w:p>
        </w:tc>
      </w:tr>
      <w:tr w:rsidR="00BF1010" w:rsidRPr="00BF1010" w14:paraId="738BC0B2" w14:textId="77777777" w:rsidTr="00BF1010">
        <w:trPr>
          <w:jc w:val="center"/>
        </w:trPr>
        <w:tc>
          <w:tcPr>
            <w:tcW w:w="0" w:type="auto"/>
            <w:tcMar>
              <w:top w:w="15" w:type="dxa"/>
              <w:left w:w="0" w:type="dxa"/>
              <w:bottom w:w="15" w:type="dxa"/>
              <w:right w:w="15" w:type="dxa"/>
            </w:tcMar>
            <w:vAlign w:val="center"/>
            <w:hideMark/>
          </w:tcPr>
          <w:p w14:paraId="4921B34E"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Energy Efficiency Indicators</w:t>
            </w:r>
          </w:p>
        </w:tc>
        <w:tc>
          <w:tcPr>
            <w:tcW w:w="0" w:type="auto"/>
            <w:vAlign w:val="center"/>
            <w:hideMark/>
          </w:tcPr>
          <w:p w14:paraId="2CE8A196"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Minimum allowable energy performance level for new buildings/Minimum allowable energy performance level for renovated buildings/Nearly zero-energy housing/Other</w:t>
            </w:r>
          </w:p>
        </w:tc>
      </w:tr>
      <w:tr w:rsidR="00BF1010" w:rsidRPr="00BF1010" w14:paraId="7C542D3E" w14:textId="77777777" w:rsidTr="00BF1010">
        <w:trPr>
          <w:jc w:val="center"/>
        </w:trPr>
        <w:tc>
          <w:tcPr>
            <w:tcW w:w="0" w:type="auto"/>
            <w:tcMar>
              <w:top w:w="15" w:type="dxa"/>
              <w:left w:w="0" w:type="dxa"/>
              <w:bottom w:w="15" w:type="dxa"/>
              <w:right w:w="15" w:type="dxa"/>
            </w:tcMar>
            <w:vAlign w:val="center"/>
            <w:hideMark/>
          </w:tcPr>
          <w:p w14:paraId="536C5843" w14:textId="77777777" w:rsidR="00BF1010" w:rsidRPr="00BF1010" w:rsidRDefault="00BF1010" w:rsidP="00BF1010">
            <w:pPr>
              <w:spacing w:after="0" w:line="240" w:lineRule="auto"/>
              <w:contextualSpacing/>
              <w:rPr>
                <w:rFonts w:asciiTheme="majorBidi" w:hAnsiTheme="majorBidi" w:cstheme="majorBidi"/>
                <w:sz w:val="20"/>
                <w:szCs w:val="20"/>
              </w:rPr>
            </w:pPr>
            <w:r w:rsidRPr="00BF1010">
              <w:rPr>
                <w:rFonts w:asciiTheme="majorBidi" w:hAnsiTheme="majorBidi" w:cstheme="majorBidi"/>
                <w:b/>
                <w:bCs/>
                <w:sz w:val="20"/>
                <w:szCs w:val="20"/>
              </w:rPr>
              <w:t>Based on Building Materials Used in the Exterior</w:t>
            </w:r>
          </w:p>
        </w:tc>
        <w:tc>
          <w:tcPr>
            <w:tcW w:w="0" w:type="auto"/>
            <w:vAlign w:val="center"/>
            <w:hideMark/>
          </w:tcPr>
          <w:p w14:paraId="7E82D5E2" w14:textId="77777777" w:rsidR="00BF1010" w:rsidRPr="00BF1010" w:rsidRDefault="00BF1010" w:rsidP="00BF1010">
            <w:pPr>
              <w:spacing w:after="0" w:line="240" w:lineRule="auto"/>
              <w:contextualSpacing/>
              <w:jc w:val="both"/>
              <w:rPr>
                <w:rFonts w:asciiTheme="majorBidi" w:hAnsiTheme="majorBidi" w:cstheme="majorBidi"/>
                <w:sz w:val="20"/>
                <w:szCs w:val="20"/>
              </w:rPr>
            </w:pPr>
            <w:r w:rsidRPr="00BF1010">
              <w:rPr>
                <w:rFonts w:asciiTheme="majorBidi" w:hAnsiTheme="majorBidi" w:cstheme="majorBidi"/>
                <w:sz w:val="20"/>
                <w:szCs w:val="20"/>
              </w:rPr>
              <w:t>Brick walls/Wood/Brick/Panels/Reinforced concrete/Concrete/Lightweight concrete/Wood/Masonry/Other</w:t>
            </w:r>
          </w:p>
        </w:tc>
      </w:tr>
    </w:tbl>
    <w:p w14:paraId="4D9373BD" w14:textId="77777777" w:rsidR="0035024D" w:rsidRDefault="0035024D" w:rsidP="0035024D">
      <w:pPr>
        <w:spacing w:after="0" w:line="240" w:lineRule="auto"/>
        <w:contextualSpacing/>
        <w:jc w:val="both"/>
        <w:rPr>
          <w:rFonts w:asciiTheme="majorBidi" w:hAnsiTheme="majorBidi" w:cstheme="majorBidi"/>
        </w:rPr>
      </w:pPr>
    </w:p>
    <w:p w14:paraId="3529F674" w14:textId="290F5DEF" w:rsidR="0035024D" w:rsidRPr="0035024D" w:rsidRDefault="00BF1010" w:rsidP="0035024D">
      <w:pPr>
        <w:spacing w:after="0" w:line="240" w:lineRule="auto"/>
        <w:contextualSpacing/>
        <w:jc w:val="both"/>
        <w:rPr>
          <w:rFonts w:asciiTheme="majorBidi" w:hAnsiTheme="majorBidi" w:cstheme="majorBidi"/>
        </w:rPr>
      </w:pPr>
      <w:r w:rsidRPr="00BF1010">
        <w:rPr>
          <w:rFonts w:asciiTheme="majorBidi" w:hAnsiTheme="majorBidi" w:cstheme="majorBidi"/>
        </w:rPr>
        <w:t>This table illustrates various housing classifications based on different characteristics, which can help in better understanding the types of housing and their associated criteria.</w:t>
      </w:r>
      <w:r w:rsidR="0035024D">
        <w:rPr>
          <w:rFonts w:asciiTheme="majorBidi" w:hAnsiTheme="majorBidi" w:cstheme="majorBidi"/>
        </w:rPr>
        <w:t xml:space="preserve"> </w:t>
      </w:r>
      <w:r w:rsidR="0035024D" w:rsidRPr="0035024D">
        <w:rPr>
          <w:rFonts w:asciiTheme="majorBidi" w:hAnsiTheme="majorBidi" w:cstheme="majorBidi"/>
        </w:rPr>
        <w:t>In the literature, there is no single definition for affordable housing. The Australian Housing, Local Government and Planning Ministers</w:t>
      </w:r>
      <w:r w:rsidR="0035024D" w:rsidRPr="0035024D">
        <w:rPr>
          <w:rFonts w:asciiTheme="majorBidi" w:hAnsiTheme="majorBidi" w:cstheme="majorBidi"/>
        </w:rPr>
        <w:t xml:space="preserve"> </w:t>
      </w:r>
      <w:r w:rsidR="0035024D" w:rsidRPr="0035024D">
        <w:rPr>
          <w:rFonts w:asciiTheme="majorBidi" w:hAnsiTheme="majorBidi" w:cstheme="majorBidi"/>
        </w:rPr>
        <w:t>(2006) defines affordable housing as housing that is suitable for the needs of a range of low- and middle-income households, with prices set in a way that allows households to meet other essential living costs. In other words, this might be the simplest definition of affordable housing, which considers the ratio of housing prices to income.</w:t>
      </w:r>
    </w:p>
    <w:p w14:paraId="25E09ABB" w14:textId="70ED794C" w:rsidR="0035024D" w:rsidRPr="0035024D" w:rsidRDefault="0035024D" w:rsidP="0035024D">
      <w:pPr>
        <w:spacing w:after="0" w:line="240" w:lineRule="auto"/>
        <w:contextualSpacing/>
        <w:jc w:val="both"/>
        <w:rPr>
          <w:rFonts w:asciiTheme="majorBidi" w:hAnsiTheme="majorBidi" w:cstheme="majorBidi"/>
        </w:rPr>
      </w:pPr>
      <w:r w:rsidRPr="0035024D">
        <w:rPr>
          <w:rFonts w:asciiTheme="majorBidi" w:hAnsiTheme="majorBidi" w:cstheme="majorBidi"/>
        </w:rPr>
        <w:t>The UK Office of the Deputy Prime Minister (2005) provides a similar definition but focuses on incomes lower than the threshold considered in Australia. In fact, the affordability of housing is measured relative to housing costs and household income and is estimated using various methods. Marks and Sedgwick (2008) define affordability using the standard measure of housing stress, meaning that if housing costs exceed 30% of a household's income, the household is under stress. This same definition is also considered by the Australian Council of Social Service (ACOSS) and others</w:t>
      </w:r>
      <w:r w:rsidRPr="0035024D">
        <w:rPr>
          <w:rFonts w:asciiTheme="majorBidi" w:hAnsiTheme="majorBidi" w:cstheme="majorBidi"/>
        </w:rPr>
        <w:t xml:space="preserve"> </w:t>
      </w:r>
      <w:r w:rsidRPr="0035024D">
        <w:rPr>
          <w:rFonts w:asciiTheme="majorBidi" w:hAnsiTheme="majorBidi" w:cstheme="majorBidi"/>
        </w:rPr>
        <w:t>(2007). In these definitions, the concepts of housing costs and income must be clarified. For renters, housing costs refer to rent payments, while for homeowners, housing costs include mortgage repayments and interest.</w:t>
      </w:r>
    </w:p>
    <w:p w14:paraId="349CC290" w14:textId="678430F4" w:rsidR="0035024D" w:rsidRPr="0035024D" w:rsidRDefault="0035024D" w:rsidP="0035024D">
      <w:pPr>
        <w:spacing w:after="0" w:line="240" w:lineRule="auto"/>
        <w:contextualSpacing/>
        <w:jc w:val="both"/>
        <w:rPr>
          <w:rFonts w:asciiTheme="majorBidi" w:hAnsiTheme="majorBidi" w:cstheme="majorBidi"/>
        </w:rPr>
      </w:pPr>
      <w:r w:rsidRPr="0035024D">
        <w:rPr>
          <w:rFonts w:asciiTheme="majorBidi" w:hAnsiTheme="majorBidi" w:cstheme="majorBidi"/>
        </w:rPr>
        <w:t xml:space="preserve">Affordable housing refers to the income of its residents and contrasts with specific types of housing such as social housing, public housing, and low-cost housing (UN Habitat, 2011). Affordable housing </w:t>
      </w:r>
      <w:r w:rsidRPr="0035024D">
        <w:rPr>
          <w:rFonts w:asciiTheme="majorBidi" w:hAnsiTheme="majorBidi" w:cstheme="majorBidi"/>
        </w:rPr>
        <w:lastRenderedPageBreak/>
        <w:t>encompasses a range of housing options available at various price points that meet effective demand (</w:t>
      </w:r>
      <w:proofErr w:type="spellStart"/>
      <w:r w:rsidRPr="0035024D">
        <w:rPr>
          <w:rFonts w:asciiTheme="majorBidi" w:hAnsiTheme="majorBidi" w:cstheme="majorBidi"/>
        </w:rPr>
        <w:t>Masseram</w:t>
      </w:r>
      <w:proofErr w:type="spellEnd"/>
      <w:r w:rsidRPr="0035024D">
        <w:rPr>
          <w:rFonts w:asciiTheme="majorBidi" w:hAnsiTheme="majorBidi" w:cstheme="majorBidi"/>
        </w:rPr>
        <w:t xml:space="preserve"> and </w:t>
      </w:r>
      <w:proofErr w:type="spellStart"/>
      <w:r w:rsidRPr="0035024D">
        <w:rPr>
          <w:rFonts w:asciiTheme="majorBidi" w:hAnsiTheme="majorBidi" w:cstheme="majorBidi"/>
        </w:rPr>
        <w:t>Misnan</w:t>
      </w:r>
      <w:proofErr w:type="spellEnd"/>
      <w:r w:rsidRPr="0035024D">
        <w:rPr>
          <w:rFonts w:asciiTheme="majorBidi" w:hAnsiTheme="majorBidi" w:cstheme="majorBidi"/>
        </w:rPr>
        <w:t>, 2019). Effective demand typically refers to households' needs beyond the basic or minimum level of provision, supported by their willingness to pay for housing, considering their ability to pay and purchasing power (</w:t>
      </w:r>
      <w:proofErr w:type="spellStart"/>
      <w:r w:rsidRPr="0035024D">
        <w:rPr>
          <w:rFonts w:asciiTheme="majorBidi" w:hAnsiTheme="majorBidi" w:cstheme="majorBidi"/>
        </w:rPr>
        <w:t>Golland</w:t>
      </w:r>
      <w:proofErr w:type="spellEnd"/>
      <w:r w:rsidRPr="0035024D">
        <w:rPr>
          <w:rFonts w:asciiTheme="majorBidi" w:hAnsiTheme="majorBidi" w:cstheme="majorBidi"/>
        </w:rPr>
        <w:t xml:space="preserve"> and Blake, 2007).</w:t>
      </w:r>
    </w:p>
    <w:p w14:paraId="7CE0E4DA" w14:textId="77777777" w:rsidR="0035024D" w:rsidRPr="0035024D" w:rsidRDefault="0035024D" w:rsidP="0035024D">
      <w:pPr>
        <w:spacing w:after="0" w:line="240" w:lineRule="auto"/>
        <w:contextualSpacing/>
        <w:jc w:val="both"/>
        <w:rPr>
          <w:rFonts w:asciiTheme="majorBidi" w:hAnsiTheme="majorBidi" w:cstheme="majorBidi"/>
        </w:rPr>
      </w:pPr>
      <w:r w:rsidRPr="0035024D">
        <w:rPr>
          <w:rFonts w:asciiTheme="majorBidi" w:hAnsiTheme="majorBidi" w:cstheme="majorBidi"/>
        </w:rPr>
        <w:t xml:space="preserve">When individuals are willing and able to pay for housing, factors such as price, demand conditions, income level, income distribution, household formation, interest rates, replacement costs, government policies, personal preferences, expectations of future price changes, and similar considerations come into play (Harvey and </w:t>
      </w:r>
      <w:proofErr w:type="spellStart"/>
      <w:r w:rsidRPr="0035024D">
        <w:rPr>
          <w:rFonts w:asciiTheme="majorBidi" w:hAnsiTheme="majorBidi" w:cstheme="majorBidi"/>
        </w:rPr>
        <w:t>Jowsey</w:t>
      </w:r>
      <w:proofErr w:type="spellEnd"/>
      <w:r w:rsidRPr="0035024D">
        <w:rPr>
          <w:rFonts w:asciiTheme="majorBidi" w:hAnsiTheme="majorBidi" w:cstheme="majorBidi"/>
        </w:rPr>
        <w:t>, 2004).</w:t>
      </w:r>
    </w:p>
    <w:p w14:paraId="5AB87787" w14:textId="77777777" w:rsidR="0035024D" w:rsidRPr="0035024D" w:rsidRDefault="0035024D" w:rsidP="0035024D">
      <w:pPr>
        <w:spacing w:after="0" w:line="240" w:lineRule="auto"/>
        <w:contextualSpacing/>
        <w:jc w:val="both"/>
        <w:rPr>
          <w:rFonts w:asciiTheme="majorBidi" w:hAnsiTheme="majorBidi" w:cstheme="majorBidi"/>
        </w:rPr>
      </w:pPr>
      <w:r w:rsidRPr="0035024D">
        <w:rPr>
          <w:rFonts w:asciiTheme="majorBidi" w:hAnsiTheme="majorBidi" w:cstheme="majorBidi"/>
        </w:rPr>
        <w:t>Issues related to affordability reflect the need for some form of government intervention to ensure equal access to housing for all segments of the population. Government intervention is crucial for controlling and balancing the housing market, as the private sector plays a major role in housing provision. Left unchecked, the conflicting objectives of the public and private sectors can create problems, particularly for low-income individuals seeking to purchase homes. The increasing focus on densification and the reuse of previously developed land reflects government policies aimed at securing economic, physical, and generational renewal in urban areas and creating sustainable environments for residents more quickly.</w:t>
      </w:r>
    </w:p>
    <w:p w14:paraId="71CE6B74" w14:textId="05D4D824" w:rsidR="0035024D" w:rsidRDefault="0035024D" w:rsidP="0035024D">
      <w:pPr>
        <w:spacing w:after="0" w:line="240" w:lineRule="auto"/>
        <w:contextualSpacing/>
        <w:jc w:val="both"/>
        <w:rPr>
          <w:rFonts w:asciiTheme="majorBidi" w:hAnsiTheme="majorBidi" w:cstheme="majorBidi"/>
        </w:rPr>
      </w:pPr>
      <w:r w:rsidRPr="0035024D">
        <w:rPr>
          <w:rFonts w:asciiTheme="majorBidi" w:hAnsiTheme="majorBidi" w:cstheme="majorBidi"/>
        </w:rPr>
        <w:t>The OECD (2021) has prepared a report on affordable housing policies to build a better future. This report addresses all dimensions and measurable aspects of affordable housing. Table (2) comprehensively presents these factors.</w:t>
      </w:r>
    </w:p>
    <w:p w14:paraId="51748B29" w14:textId="7F0B7291" w:rsidR="00D40A1F" w:rsidRDefault="00D40A1F" w:rsidP="0035024D">
      <w:pPr>
        <w:spacing w:after="0" w:line="240" w:lineRule="auto"/>
        <w:contextualSpacing/>
        <w:jc w:val="both"/>
        <w:rPr>
          <w:rFonts w:asciiTheme="majorBidi" w:hAnsiTheme="majorBidi" w:cstheme="majorBidi"/>
        </w:rPr>
      </w:pPr>
    </w:p>
    <w:p w14:paraId="4ECCFBDB"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t>Table (2): Dimensions and Metrics for Evaluating Affordable Housing (OECD, 2021)</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605"/>
        <w:gridCol w:w="1905"/>
        <w:gridCol w:w="2880"/>
        <w:gridCol w:w="2970"/>
      </w:tblGrid>
      <w:tr w:rsidR="00545E9C" w:rsidRPr="00545E9C" w14:paraId="0BA08E49" w14:textId="77777777" w:rsidTr="00545E9C">
        <w:trPr>
          <w:tblHeader/>
        </w:trPr>
        <w:tc>
          <w:tcPr>
            <w:tcW w:w="0" w:type="auto"/>
            <w:tcMar>
              <w:top w:w="15" w:type="dxa"/>
              <w:left w:w="0" w:type="dxa"/>
              <w:bottom w:w="15" w:type="dxa"/>
              <w:right w:w="15" w:type="dxa"/>
            </w:tcMar>
            <w:vAlign w:val="center"/>
            <w:hideMark/>
          </w:tcPr>
          <w:p w14:paraId="28E6E7A9" w14:textId="77777777" w:rsidR="00545E9C" w:rsidRPr="00545E9C" w:rsidRDefault="00545E9C" w:rsidP="00545E9C">
            <w:pPr>
              <w:spacing w:after="0" w:line="240" w:lineRule="auto"/>
              <w:contextualSpacing/>
              <w:jc w:val="center"/>
              <w:rPr>
                <w:rFonts w:asciiTheme="majorBidi" w:hAnsiTheme="majorBidi" w:cstheme="majorBidi"/>
                <w:b/>
                <w:bCs/>
                <w:sz w:val="20"/>
                <w:szCs w:val="20"/>
              </w:rPr>
            </w:pPr>
            <w:r w:rsidRPr="00545E9C">
              <w:rPr>
                <w:rFonts w:asciiTheme="majorBidi" w:hAnsiTheme="majorBidi" w:cstheme="majorBidi"/>
                <w:b/>
                <w:bCs/>
                <w:sz w:val="20"/>
                <w:szCs w:val="20"/>
              </w:rPr>
              <w:t>Type of Evaluation</w:t>
            </w:r>
          </w:p>
        </w:tc>
        <w:tc>
          <w:tcPr>
            <w:tcW w:w="1905" w:type="dxa"/>
            <w:vAlign w:val="center"/>
            <w:hideMark/>
          </w:tcPr>
          <w:p w14:paraId="3D5215D6" w14:textId="77777777" w:rsidR="00545E9C" w:rsidRPr="00545E9C" w:rsidRDefault="00545E9C" w:rsidP="00545E9C">
            <w:pPr>
              <w:spacing w:after="0" w:line="240" w:lineRule="auto"/>
              <w:contextualSpacing/>
              <w:jc w:val="center"/>
              <w:rPr>
                <w:rFonts w:asciiTheme="majorBidi" w:hAnsiTheme="majorBidi" w:cstheme="majorBidi"/>
                <w:b/>
                <w:bCs/>
                <w:sz w:val="20"/>
                <w:szCs w:val="20"/>
              </w:rPr>
            </w:pPr>
            <w:r w:rsidRPr="00545E9C">
              <w:rPr>
                <w:rFonts w:asciiTheme="majorBidi" w:hAnsiTheme="majorBidi" w:cstheme="majorBidi"/>
                <w:b/>
                <w:bCs/>
                <w:sz w:val="20"/>
                <w:szCs w:val="20"/>
              </w:rPr>
              <w:t>Sample Indicators</w:t>
            </w:r>
          </w:p>
        </w:tc>
        <w:tc>
          <w:tcPr>
            <w:tcW w:w="2880" w:type="dxa"/>
            <w:vAlign w:val="center"/>
            <w:hideMark/>
          </w:tcPr>
          <w:p w14:paraId="111C8B9C" w14:textId="77777777" w:rsidR="00545E9C" w:rsidRPr="00545E9C" w:rsidRDefault="00545E9C" w:rsidP="00545E9C">
            <w:pPr>
              <w:spacing w:after="0" w:line="240" w:lineRule="auto"/>
              <w:contextualSpacing/>
              <w:jc w:val="center"/>
              <w:rPr>
                <w:rFonts w:asciiTheme="majorBidi" w:hAnsiTheme="majorBidi" w:cstheme="majorBidi"/>
                <w:b/>
                <w:bCs/>
                <w:sz w:val="20"/>
                <w:szCs w:val="20"/>
              </w:rPr>
            </w:pPr>
            <w:r w:rsidRPr="00545E9C">
              <w:rPr>
                <w:rFonts w:asciiTheme="majorBidi" w:hAnsiTheme="majorBidi" w:cstheme="majorBidi"/>
                <w:b/>
                <w:bCs/>
                <w:sz w:val="20"/>
                <w:szCs w:val="20"/>
              </w:rPr>
              <w:t>Advantages</w:t>
            </w:r>
          </w:p>
        </w:tc>
        <w:tc>
          <w:tcPr>
            <w:tcW w:w="2970" w:type="dxa"/>
            <w:vAlign w:val="center"/>
            <w:hideMark/>
          </w:tcPr>
          <w:p w14:paraId="0F24A37C" w14:textId="77777777" w:rsidR="00545E9C" w:rsidRPr="00545E9C" w:rsidRDefault="00545E9C" w:rsidP="00545E9C">
            <w:pPr>
              <w:spacing w:after="0" w:line="240" w:lineRule="auto"/>
              <w:contextualSpacing/>
              <w:jc w:val="center"/>
              <w:rPr>
                <w:rFonts w:asciiTheme="majorBidi" w:hAnsiTheme="majorBidi" w:cstheme="majorBidi"/>
                <w:b/>
                <w:bCs/>
                <w:sz w:val="20"/>
                <w:szCs w:val="20"/>
              </w:rPr>
            </w:pPr>
            <w:r w:rsidRPr="00545E9C">
              <w:rPr>
                <w:rFonts w:asciiTheme="majorBidi" w:hAnsiTheme="majorBidi" w:cstheme="majorBidi"/>
                <w:b/>
                <w:bCs/>
                <w:sz w:val="20"/>
                <w:szCs w:val="20"/>
              </w:rPr>
              <w:t>Limitations</w:t>
            </w:r>
          </w:p>
        </w:tc>
      </w:tr>
      <w:tr w:rsidR="00545E9C" w:rsidRPr="00545E9C" w14:paraId="685DE8A0" w14:textId="77777777" w:rsidTr="00545E9C">
        <w:tc>
          <w:tcPr>
            <w:tcW w:w="0" w:type="auto"/>
            <w:tcMar>
              <w:top w:w="15" w:type="dxa"/>
              <w:left w:w="0" w:type="dxa"/>
              <w:bottom w:w="15" w:type="dxa"/>
              <w:right w:w="15" w:type="dxa"/>
            </w:tcMar>
            <w:vAlign w:val="center"/>
            <w:hideMark/>
          </w:tcPr>
          <w:p w14:paraId="297F4FE0"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t>Price-to-Income Ratio</w:t>
            </w:r>
          </w:p>
        </w:tc>
        <w:tc>
          <w:tcPr>
            <w:tcW w:w="1905" w:type="dxa"/>
            <w:vAlign w:val="center"/>
            <w:hideMark/>
          </w:tcPr>
          <w:p w14:paraId="1428178C"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sz w:val="20"/>
                <w:szCs w:val="20"/>
              </w:rPr>
              <w:t>Housing price-to-income ratio</w:t>
            </w:r>
            <w:r w:rsidRPr="00545E9C">
              <w:rPr>
                <w:rFonts w:asciiTheme="majorBidi" w:hAnsiTheme="majorBidi" w:cstheme="majorBidi"/>
                <w:sz w:val="20"/>
                <w:szCs w:val="20"/>
              </w:rPr>
              <w:br/>
              <w:t>Rent-to-income ratio</w:t>
            </w:r>
          </w:p>
        </w:tc>
        <w:tc>
          <w:tcPr>
            <w:tcW w:w="2880" w:type="dxa"/>
            <w:vAlign w:val="center"/>
            <w:hideMark/>
          </w:tcPr>
          <w:p w14:paraId="611C2129"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Relatively simple and intuitive</w:t>
            </w:r>
            <w:r w:rsidRPr="00545E9C">
              <w:rPr>
                <w:rFonts w:asciiTheme="majorBidi" w:hAnsiTheme="majorBidi" w:cstheme="majorBidi"/>
                <w:sz w:val="20"/>
                <w:szCs w:val="20"/>
              </w:rPr>
              <w:br/>
              <w:t>► Relies on data generally available in most countries</w:t>
            </w:r>
            <w:r w:rsidRPr="00545E9C">
              <w:rPr>
                <w:rFonts w:asciiTheme="majorBidi" w:hAnsiTheme="majorBidi" w:cstheme="majorBidi"/>
                <w:sz w:val="20"/>
                <w:szCs w:val="20"/>
              </w:rPr>
              <w:br/>
              <w:t>► Shows how the relationship between prices and income varies over time and/or across markets (e.g., countries).</w:t>
            </w:r>
          </w:p>
        </w:tc>
        <w:tc>
          <w:tcPr>
            <w:tcW w:w="2970" w:type="dxa"/>
            <w:vAlign w:val="center"/>
            <w:hideMark/>
          </w:tcPr>
          <w:p w14:paraId="0F3110CB"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Does not indicate the distribution of housing costs or affordability (e.g., who has access to affordable housing or not)</w:t>
            </w:r>
            <w:r w:rsidRPr="00545E9C">
              <w:rPr>
                <w:rFonts w:asciiTheme="majorBidi" w:hAnsiTheme="majorBidi" w:cstheme="majorBidi"/>
                <w:sz w:val="20"/>
                <w:szCs w:val="20"/>
              </w:rPr>
              <w:br/>
              <w:t>◄ Does not provide insight into housing quality</w:t>
            </w:r>
            <w:r w:rsidRPr="00545E9C">
              <w:rPr>
                <w:rFonts w:asciiTheme="majorBidi" w:hAnsiTheme="majorBidi" w:cstheme="majorBidi"/>
                <w:sz w:val="20"/>
                <w:szCs w:val="20"/>
              </w:rPr>
              <w:br/>
              <w:t>◄ Does not account for borrowing costs.</w:t>
            </w:r>
          </w:p>
        </w:tc>
      </w:tr>
      <w:tr w:rsidR="00545E9C" w:rsidRPr="00545E9C" w14:paraId="14DDB2E7" w14:textId="77777777" w:rsidTr="00545E9C">
        <w:tc>
          <w:tcPr>
            <w:tcW w:w="0" w:type="auto"/>
            <w:tcMar>
              <w:top w:w="15" w:type="dxa"/>
              <w:left w:w="0" w:type="dxa"/>
              <w:bottom w:w="15" w:type="dxa"/>
              <w:right w:w="15" w:type="dxa"/>
            </w:tcMar>
            <w:vAlign w:val="center"/>
            <w:hideMark/>
          </w:tcPr>
          <w:p w14:paraId="75B23AC2"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t>Housing Cost-to-Income Ratio</w:t>
            </w:r>
          </w:p>
        </w:tc>
        <w:tc>
          <w:tcPr>
            <w:tcW w:w="1905" w:type="dxa"/>
            <w:vAlign w:val="center"/>
            <w:hideMark/>
          </w:tcPr>
          <w:p w14:paraId="51850F40"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sz w:val="20"/>
                <w:szCs w:val="20"/>
              </w:rPr>
              <w:t>Housing cost burden</w:t>
            </w:r>
            <w:r w:rsidRPr="00545E9C">
              <w:rPr>
                <w:rFonts w:asciiTheme="majorBidi" w:hAnsiTheme="majorBidi" w:cstheme="majorBidi"/>
                <w:sz w:val="20"/>
                <w:szCs w:val="20"/>
              </w:rPr>
              <w:br/>
              <w:t>Housing cost overburden rate (e.g., share of households spending &gt;40% of disposable income on housing)</w:t>
            </w:r>
          </w:p>
        </w:tc>
        <w:tc>
          <w:tcPr>
            <w:tcW w:w="2880" w:type="dxa"/>
            <w:vAlign w:val="center"/>
            <w:hideMark/>
          </w:tcPr>
          <w:p w14:paraId="78A6DDF1"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Relatively simple and intuitive</w:t>
            </w:r>
            <w:r w:rsidRPr="00545E9C">
              <w:rPr>
                <w:rFonts w:asciiTheme="majorBidi" w:hAnsiTheme="majorBidi" w:cstheme="majorBidi"/>
                <w:sz w:val="20"/>
                <w:szCs w:val="20"/>
              </w:rPr>
              <w:br/>
              <w:t>► Relies on data generally available in most countries</w:t>
            </w:r>
            <w:r w:rsidRPr="00545E9C">
              <w:rPr>
                <w:rFonts w:asciiTheme="majorBidi" w:hAnsiTheme="majorBidi" w:cstheme="majorBidi"/>
                <w:sz w:val="20"/>
                <w:szCs w:val="20"/>
              </w:rPr>
              <w:br/>
              <w:t>► Can be disaggregated to measure actual housing costs at the household level.</w:t>
            </w:r>
          </w:p>
        </w:tc>
        <w:tc>
          <w:tcPr>
            <w:tcW w:w="2970" w:type="dxa"/>
            <w:vAlign w:val="center"/>
            <w:hideMark/>
          </w:tcPr>
          <w:p w14:paraId="349D62A2"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The "overburden" threshold is set arbitrarily and remains fixed regardless of household characteristics or their position in the income distribution.</w:t>
            </w:r>
            <w:r w:rsidRPr="00545E9C">
              <w:rPr>
                <w:rFonts w:asciiTheme="majorBidi" w:hAnsiTheme="majorBidi" w:cstheme="majorBidi"/>
                <w:sz w:val="20"/>
                <w:szCs w:val="20"/>
              </w:rPr>
              <w:br/>
              <w:t>◄ Does not provide insight into housing quality.</w:t>
            </w:r>
          </w:p>
        </w:tc>
      </w:tr>
      <w:tr w:rsidR="00545E9C" w:rsidRPr="00545E9C" w14:paraId="6F7E9898" w14:textId="77777777" w:rsidTr="00545E9C">
        <w:tc>
          <w:tcPr>
            <w:tcW w:w="0" w:type="auto"/>
            <w:tcMar>
              <w:top w:w="15" w:type="dxa"/>
              <w:left w:w="0" w:type="dxa"/>
              <w:bottom w:w="15" w:type="dxa"/>
              <w:right w:w="15" w:type="dxa"/>
            </w:tcMar>
            <w:vAlign w:val="center"/>
            <w:hideMark/>
          </w:tcPr>
          <w:p w14:paraId="1824F76D"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t>Residual Income</w:t>
            </w:r>
          </w:p>
        </w:tc>
        <w:tc>
          <w:tcPr>
            <w:tcW w:w="1905" w:type="dxa"/>
            <w:vAlign w:val="center"/>
            <w:hideMark/>
          </w:tcPr>
          <w:p w14:paraId="5D34CA37"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sz w:val="20"/>
                <w:szCs w:val="20"/>
              </w:rPr>
              <w:t>Shelter poverty</w:t>
            </w:r>
            <w:r w:rsidRPr="00545E9C">
              <w:rPr>
                <w:rFonts w:asciiTheme="majorBidi" w:hAnsiTheme="majorBidi" w:cstheme="majorBidi"/>
                <w:sz w:val="20"/>
                <w:szCs w:val="20"/>
              </w:rPr>
              <w:br/>
              <w:t>Housing-induced poverty</w:t>
            </w:r>
          </w:p>
        </w:tc>
        <w:tc>
          <w:tcPr>
            <w:tcW w:w="2880" w:type="dxa"/>
            <w:vAlign w:val="center"/>
            <w:hideMark/>
          </w:tcPr>
          <w:p w14:paraId="4D3E93F8"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Shows the income remaining after housing costs, allowing assessment of sufficient income for non-housing expenses.</w:t>
            </w:r>
            <w:r w:rsidRPr="00545E9C">
              <w:rPr>
                <w:rFonts w:asciiTheme="majorBidi" w:hAnsiTheme="majorBidi" w:cstheme="majorBidi"/>
                <w:sz w:val="20"/>
                <w:szCs w:val="20"/>
              </w:rPr>
              <w:br/>
              <w:t>► Useful for measuring affordability gaps among vulnerable low- and middle-income families.</w:t>
            </w:r>
          </w:p>
        </w:tc>
        <w:tc>
          <w:tcPr>
            <w:tcW w:w="2970" w:type="dxa"/>
            <w:vAlign w:val="center"/>
            <w:hideMark/>
          </w:tcPr>
          <w:p w14:paraId="74BF71D3"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May require extensive additional data collection on minimum non-housing expenditure baskets.</w:t>
            </w:r>
            <w:r w:rsidRPr="00545E9C">
              <w:rPr>
                <w:rFonts w:asciiTheme="majorBidi" w:hAnsiTheme="majorBidi" w:cstheme="majorBidi"/>
                <w:sz w:val="20"/>
                <w:szCs w:val="20"/>
              </w:rPr>
              <w:br/>
              <w:t>◄ Arbitrariness in defining the minimum income needed for non-housing expenses.</w:t>
            </w:r>
            <w:r w:rsidRPr="00545E9C">
              <w:rPr>
                <w:rFonts w:asciiTheme="majorBidi" w:hAnsiTheme="majorBidi" w:cstheme="majorBidi"/>
                <w:sz w:val="20"/>
                <w:szCs w:val="20"/>
              </w:rPr>
              <w:br/>
              <w:t>◄ Does not indicate housing quality.</w:t>
            </w:r>
            <w:r w:rsidRPr="00545E9C">
              <w:rPr>
                <w:rFonts w:asciiTheme="majorBidi" w:hAnsiTheme="majorBidi" w:cstheme="majorBidi"/>
                <w:sz w:val="20"/>
                <w:szCs w:val="20"/>
              </w:rPr>
              <w:br/>
              <w:t>◄ May misidentify general cost-of-living issues as housing issues.</w:t>
            </w:r>
          </w:p>
        </w:tc>
      </w:tr>
      <w:tr w:rsidR="00545E9C" w:rsidRPr="00545E9C" w14:paraId="6794B6CF" w14:textId="77777777" w:rsidTr="00545E9C">
        <w:tc>
          <w:tcPr>
            <w:tcW w:w="0" w:type="auto"/>
            <w:tcMar>
              <w:top w:w="15" w:type="dxa"/>
              <w:left w:w="0" w:type="dxa"/>
              <w:bottom w:w="15" w:type="dxa"/>
              <w:right w:w="15" w:type="dxa"/>
            </w:tcMar>
            <w:vAlign w:val="center"/>
            <w:hideMark/>
          </w:tcPr>
          <w:p w14:paraId="66B1039D"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t>Housing Quality</w:t>
            </w:r>
          </w:p>
        </w:tc>
        <w:tc>
          <w:tcPr>
            <w:tcW w:w="1905" w:type="dxa"/>
            <w:vAlign w:val="center"/>
            <w:hideMark/>
          </w:tcPr>
          <w:p w14:paraId="2FE49CBD"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sz w:val="20"/>
                <w:szCs w:val="20"/>
              </w:rPr>
              <w:t>Rooms per person</w:t>
            </w:r>
            <w:r w:rsidRPr="00545E9C">
              <w:rPr>
                <w:rFonts w:asciiTheme="majorBidi" w:hAnsiTheme="majorBidi" w:cstheme="majorBidi"/>
                <w:sz w:val="20"/>
                <w:szCs w:val="20"/>
              </w:rPr>
              <w:br/>
              <w:t>Overcrowding rate</w:t>
            </w:r>
            <w:r w:rsidRPr="00545E9C">
              <w:rPr>
                <w:rFonts w:asciiTheme="majorBidi" w:hAnsiTheme="majorBidi" w:cstheme="majorBidi"/>
                <w:sz w:val="20"/>
                <w:szCs w:val="20"/>
              </w:rPr>
              <w:br/>
              <w:t>Housing deprivation rate</w:t>
            </w:r>
          </w:p>
        </w:tc>
        <w:tc>
          <w:tcPr>
            <w:tcW w:w="2880" w:type="dxa"/>
            <w:vAlign w:val="center"/>
            <w:hideMark/>
          </w:tcPr>
          <w:p w14:paraId="705DDE6A"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Overcrowding can be assessed using a very simple (or more complex) definition.</w:t>
            </w:r>
            <w:r w:rsidRPr="00545E9C">
              <w:rPr>
                <w:rFonts w:asciiTheme="majorBidi" w:hAnsiTheme="majorBidi" w:cstheme="majorBidi"/>
                <w:sz w:val="20"/>
                <w:szCs w:val="20"/>
              </w:rPr>
              <w:br/>
              <w:t>► Provides insights into a key dimension of affordability, e.g., what families are paying for.</w:t>
            </w:r>
          </w:p>
        </w:tc>
        <w:tc>
          <w:tcPr>
            <w:tcW w:w="2970" w:type="dxa"/>
            <w:vAlign w:val="center"/>
            <w:hideMark/>
          </w:tcPr>
          <w:p w14:paraId="5C2A8DF4"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Potential trade-offs between social and environmental objectives when interpreting size-related indicators.</w:t>
            </w:r>
            <w:r w:rsidRPr="00545E9C">
              <w:rPr>
                <w:rFonts w:asciiTheme="majorBidi" w:hAnsiTheme="majorBidi" w:cstheme="majorBidi"/>
                <w:sz w:val="20"/>
                <w:szCs w:val="20"/>
              </w:rPr>
              <w:br/>
              <w:t xml:space="preserve">► Cross-country/cultural differences in what features are relevant for assessing housing </w:t>
            </w:r>
            <w:r w:rsidRPr="00545E9C">
              <w:rPr>
                <w:rFonts w:asciiTheme="majorBidi" w:hAnsiTheme="majorBidi" w:cstheme="majorBidi"/>
                <w:sz w:val="20"/>
                <w:szCs w:val="20"/>
              </w:rPr>
              <w:lastRenderedPageBreak/>
              <w:t>quality.</w:t>
            </w:r>
            <w:r w:rsidRPr="00545E9C">
              <w:rPr>
                <w:rFonts w:asciiTheme="majorBidi" w:hAnsiTheme="majorBidi" w:cstheme="majorBidi"/>
                <w:sz w:val="20"/>
                <w:szCs w:val="20"/>
              </w:rPr>
              <w:br/>
              <w:t>► Some quality metrics require up-to-date data on technical specifications of homes, which may not be readily available.</w:t>
            </w:r>
          </w:p>
        </w:tc>
      </w:tr>
      <w:tr w:rsidR="00545E9C" w:rsidRPr="00545E9C" w14:paraId="39AF0FBD" w14:textId="77777777" w:rsidTr="00545E9C">
        <w:tc>
          <w:tcPr>
            <w:tcW w:w="0" w:type="auto"/>
            <w:tcMar>
              <w:top w:w="15" w:type="dxa"/>
              <w:left w:w="0" w:type="dxa"/>
              <w:bottom w:w="15" w:type="dxa"/>
              <w:right w:w="15" w:type="dxa"/>
            </w:tcMar>
            <w:vAlign w:val="center"/>
            <w:hideMark/>
          </w:tcPr>
          <w:p w14:paraId="4F3615FD"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b/>
                <w:bCs/>
                <w:sz w:val="20"/>
                <w:szCs w:val="20"/>
              </w:rPr>
              <w:lastRenderedPageBreak/>
              <w:t>Subjective Indicators of Housing Affordability</w:t>
            </w:r>
          </w:p>
        </w:tc>
        <w:tc>
          <w:tcPr>
            <w:tcW w:w="1905" w:type="dxa"/>
            <w:vAlign w:val="center"/>
            <w:hideMark/>
          </w:tcPr>
          <w:p w14:paraId="68F66F3D" w14:textId="77777777" w:rsidR="00545E9C" w:rsidRPr="00545E9C" w:rsidRDefault="00545E9C" w:rsidP="00545E9C">
            <w:pPr>
              <w:spacing w:after="0" w:line="240" w:lineRule="auto"/>
              <w:contextualSpacing/>
              <w:jc w:val="center"/>
              <w:rPr>
                <w:rFonts w:asciiTheme="majorBidi" w:hAnsiTheme="majorBidi" w:cstheme="majorBidi"/>
                <w:sz w:val="20"/>
                <w:szCs w:val="20"/>
              </w:rPr>
            </w:pPr>
            <w:r w:rsidRPr="00545E9C">
              <w:rPr>
                <w:rFonts w:asciiTheme="majorBidi" w:hAnsiTheme="majorBidi" w:cstheme="majorBidi"/>
                <w:sz w:val="20"/>
                <w:szCs w:val="20"/>
              </w:rPr>
              <w:t>Satisfaction with availability of good and affordable housing</w:t>
            </w:r>
            <w:r w:rsidRPr="00545E9C">
              <w:rPr>
                <w:rFonts w:asciiTheme="majorBidi" w:hAnsiTheme="majorBidi" w:cstheme="majorBidi"/>
                <w:sz w:val="20"/>
                <w:szCs w:val="20"/>
              </w:rPr>
              <w:br/>
            </w:r>
            <w:proofErr w:type="spellStart"/>
            <w:r w:rsidRPr="00545E9C">
              <w:rPr>
                <w:rFonts w:asciiTheme="majorBidi" w:hAnsiTheme="majorBidi" w:cstheme="majorBidi"/>
                <w:sz w:val="20"/>
                <w:szCs w:val="20"/>
              </w:rPr>
              <w:t>Housing</w:t>
            </w:r>
            <w:proofErr w:type="spellEnd"/>
            <w:r w:rsidRPr="00545E9C">
              <w:rPr>
                <w:rFonts w:asciiTheme="majorBidi" w:hAnsiTheme="majorBidi" w:cstheme="majorBidi"/>
                <w:sz w:val="20"/>
                <w:szCs w:val="20"/>
              </w:rPr>
              <w:t xml:space="preserve"> as a key short-term concern</w:t>
            </w:r>
          </w:p>
        </w:tc>
        <w:tc>
          <w:tcPr>
            <w:tcW w:w="2880" w:type="dxa"/>
            <w:vAlign w:val="center"/>
            <w:hideMark/>
          </w:tcPr>
          <w:p w14:paraId="51165951"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Can complement other housing outcome metrics and help better understand determinants of housing satisfaction.</w:t>
            </w:r>
          </w:p>
        </w:tc>
        <w:tc>
          <w:tcPr>
            <w:tcW w:w="2970" w:type="dxa"/>
            <w:vAlign w:val="center"/>
            <w:hideMark/>
          </w:tcPr>
          <w:p w14:paraId="616D5051" w14:textId="77777777" w:rsidR="00545E9C" w:rsidRPr="00545E9C" w:rsidRDefault="00545E9C" w:rsidP="00545E9C">
            <w:pPr>
              <w:spacing w:after="0" w:line="240" w:lineRule="auto"/>
              <w:contextualSpacing/>
              <w:jc w:val="both"/>
              <w:rPr>
                <w:rFonts w:asciiTheme="majorBidi" w:hAnsiTheme="majorBidi" w:cstheme="majorBidi"/>
                <w:sz w:val="20"/>
                <w:szCs w:val="20"/>
              </w:rPr>
            </w:pPr>
            <w:r w:rsidRPr="00545E9C">
              <w:rPr>
                <w:rFonts w:asciiTheme="majorBidi" w:hAnsiTheme="majorBidi" w:cstheme="majorBidi"/>
                <w:sz w:val="20"/>
                <w:szCs w:val="20"/>
              </w:rPr>
              <w:t>► Perceptions and expectations of what constitutes good, affordable housing vary across individuals, countries, and cultures, and may also depend on social and demographic characteristics.</w:t>
            </w:r>
            <w:r w:rsidRPr="00545E9C">
              <w:rPr>
                <w:rFonts w:asciiTheme="majorBidi" w:hAnsiTheme="majorBidi" w:cstheme="majorBidi"/>
                <w:sz w:val="20"/>
                <w:szCs w:val="20"/>
              </w:rPr>
              <w:br/>
              <w:t>► Satisfaction levels may depend on country-specific factors, including the overall economic environment and/or the level of social support policies.</w:t>
            </w:r>
          </w:p>
        </w:tc>
      </w:tr>
    </w:tbl>
    <w:p w14:paraId="75371A3C" w14:textId="77777777" w:rsidR="00D40A1F" w:rsidRPr="0035024D" w:rsidRDefault="00D40A1F" w:rsidP="0035024D">
      <w:pPr>
        <w:spacing w:after="0" w:line="240" w:lineRule="auto"/>
        <w:contextualSpacing/>
        <w:jc w:val="both"/>
        <w:rPr>
          <w:rFonts w:asciiTheme="majorBidi" w:hAnsiTheme="majorBidi" w:cstheme="majorBidi"/>
        </w:rPr>
      </w:pPr>
    </w:p>
    <w:p w14:paraId="4458A453" w14:textId="16FD332F" w:rsidR="00BF1010" w:rsidRPr="00BF1010" w:rsidRDefault="00BF1010" w:rsidP="00BF1010">
      <w:pPr>
        <w:spacing w:after="0" w:line="240" w:lineRule="auto"/>
        <w:contextualSpacing/>
        <w:jc w:val="both"/>
        <w:rPr>
          <w:rFonts w:asciiTheme="majorBidi" w:hAnsiTheme="majorBidi" w:cstheme="majorBidi"/>
        </w:rPr>
      </w:pPr>
    </w:p>
    <w:p w14:paraId="63B387BC" w14:textId="77777777"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t>In this context, a fundamental economic concept is intervention in housing supply and demand, which indicates that increased demand leads to increased supply, and in an economic equilibrium, a perfect market responds to rising demand. However, in an imperfect market where other forces are at play, supply issues are inadequately addressed. There is often an imbalance between supply and demand, where demand typically exceeds supply, particularly in the housing market, where this demand is concentrated among low-income groups. The reason for this is the profit-driven nature of private-sector developers, who are more inclined to build high-cost, luxury housing to achieve higher profit margins (Powell et al., 2015). When the market is left unchecked, a shortage of housing supply for low-income groups in desirable locations arises. Barker (2004) emphasized the need to create a balance to achieve suitable and affordable housing for a growing population, alongside other types of housing, while considering space, location, and the nature of housing.</w:t>
      </w:r>
    </w:p>
    <w:p w14:paraId="1D1B2AC4" w14:textId="5B1FDCAC" w:rsidR="00E65CC0" w:rsidRDefault="00E65CC0" w:rsidP="00E65CC0">
      <w:pPr>
        <w:spacing w:after="0" w:line="240" w:lineRule="auto"/>
        <w:contextualSpacing/>
        <w:jc w:val="both"/>
        <w:rPr>
          <w:rFonts w:asciiTheme="majorBidi" w:hAnsiTheme="majorBidi" w:cstheme="majorBidi"/>
        </w:rPr>
      </w:pPr>
      <w:proofErr w:type="spellStart"/>
      <w:r w:rsidRPr="00E65CC0">
        <w:rPr>
          <w:rFonts w:asciiTheme="majorBidi" w:hAnsiTheme="majorBidi" w:cstheme="majorBidi"/>
        </w:rPr>
        <w:t>Musole</w:t>
      </w:r>
      <w:proofErr w:type="spellEnd"/>
      <w:r w:rsidRPr="00E65CC0">
        <w:rPr>
          <w:rFonts w:asciiTheme="majorBidi" w:hAnsiTheme="majorBidi" w:cstheme="majorBidi"/>
        </w:rPr>
        <w:t xml:space="preserve"> </w:t>
      </w:r>
      <w:r w:rsidRPr="00E65CC0">
        <w:rPr>
          <w:rFonts w:asciiTheme="majorBidi" w:hAnsiTheme="majorBidi" w:cstheme="majorBidi"/>
        </w:rPr>
        <w:t>(2009), through an examination of property rights, transaction costs, and institutional changes, concluded that market failure occurs when the market cannot produce desirable economic or social outcomes. Therefore, market failure is often cited as the primary reason for government intervention in economic systems and markets. He also noted that public policy intervention in market processes or other economic processes is generally accepted because it addresses market imperfections and increases efficiency. By eliminating externalities, such intervention ensures that the social costs of outcomes align more closely with private costs, and through the redistribution of resources, disadvantaged groups can also benefit (</w:t>
      </w:r>
      <w:proofErr w:type="spellStart"/>
      <w:r w:rsidRPr="00E65CC0">
        <w:rPr>
          <w:rFonts w:asciiTheme="majorBidi" w:hAnsiTheme="majorBidi" w:cstheme="majorBidi"/>
        </w:rPr>
        <w:t>Tisdell</w:t>
      </w:r>
      <w:proofErr w:type="spellEnd"/>
      <w:r w:rsidRPr="00E65CC0">
        <w:rPr>
          <w:rFonts w:asciiTheme="majorBidi" w:hAnsiTheme="majorBidi" w:cstheme="majorBidi"/>
        </w:rPr>
        <w:t xml:space="preserve"> and </w:t>
      </w:r>
      <w:proofErr w:type="spellStart"/>
      <w:r w:rsidRPr="00E65CC0">
        <w:rPr>
          <w:rFonts w:asciiTheme="majorBidi" w:hAnsiTheme="majorBidi" w:cstheme="majorBidi"/>
        </w:rPr>
        <w:t>Almandinger</w:t>
      </w:r>
      <w:proofErr w:type="spellEnd"/>
      <w:r w:rsidRPr="00E65CC0">
        <w:rPr>
          <w:rFonts w:asciiTheme="majorBidi" w:hAnsiTheme="majorBidi" w:cstheme="majorBidi"/>
        </w:rPr>
        <w:t>, 2008). Various types of policies for intervening in the housing market are outlined in Table 3.</w:t>
      </w:r>
    </w:p>
    <w:p w14:paraId="70619337" w14:textId="77777777" w:rsidR="00E65CC0" w:rsidRPr="00E65CC0" w:rsidRDefault="00E65CC0" w:rsidP="00E65CC0">
      <w:pPr>
        <w:spacing w:after="0" w:line="240" w:lineRule="auto"/>
        <w:contextualSpacing/>
        <w:jc w:val="both"/>
        <w:rPr>
          <w:rFonts w:asciiTheme="majorBidi" w:hAnsiTheme="majorBidi" w:cstheme="majorBidi"/>
        </w:rPr>
      </w:pPr>
    </w:p>
    <w:p w14:paraId="364468C3" w14:textId="77777777" w:rsidR="00E65CC0" w:rsidRPr="00E65CC0" w:rsidRDefault="00E65CC0" w:rsidP="00E65CC0">
      <w:pPr>
        <w:spacing w:after="0" w:line="240" w:lineRule="auto"/>
        <w:contextualSpacing/>
        <w:jc w:val="center"/>
        <w:rPr>
          <w:rFonts w:asciiTheme="majorBidi" w:hAnsiTheme="majorBidi" w:cstheme="majorBidi"/>
          <w:b/>
          <w:bCs/>
          <w:sz w:val="20"/>
          <w:szCs w:val="20"/>
        </w:rPr>
      </w:pPr>
      <w:r w:rsidRPr="00E65CC0">
        <w:rPr>
          <w:rFonts w:asciiTheme="majorBidi" w:hAnsiTheme="majorBidi" w:cstheme="majorBidi"/>
          <w:b/>
          <w:bCs/>
          <w:sz w:val="20"/>
          <w:szCs w:val="20"/>
        </w:rPr>
        <w:t xml:space="preserve">Table 3: Types of Housing Market Intervention Policies (Source: </w:t>
      </w:r>
      <w:proofErr w:type="spellStart"/>
      <w:r w:rsidRPr="00E65CC0">
        <w:rPr>
          <w:rFonts w:asciiTheme="majorBidi" w:hAnsiTheme="majorBidi" w:cstheme="majorBidi"/>
          <w:b/>
          <w:bCs/>
          <w:sz w:val="20"/>
          <w:szCs w:val="20"/>
        </w:rPr>
        <w:t>Masseram</w:t>
      </w:r>
      <w:proofErr w:type="spellEnd"/>
      <w:r w:rsidRPr="00E65CC0">
        <w:rPr>
          <w:rFonts w:asciiTheme="majorBidi" w:hAnsiTheme="majorBidi" w:cstheme="majorBidi"/>
          <w:b/>
          <w:bCs/>
          <w:sz w:val="20"/>
          <w:szCs w:val="20"/>
        </w:rPr>
        <w:t xml:space="preserve"> and </w:t>
      </w:r>
      <w:proofErr w:type="spellStart"/>
      <w:r w:rsidRPr="00E65CC0">
        <w:rPr>
          <w:rFonts w:asciiTheme="majorBidi" w:hAnsiTheme="majorBidi" w:cstheme="majorBidi"/>
          <w:b/>
          <w:bCs/>
          <w:sz w:val="20"/>
          <w:szCs w:val="20"/>
        </w:rPr>
        <w:t>Misnan</w:t>
      </w:r>
      <w:proofErr w:type="spellEnd"/>
      <w:r w:rsidRPr="00E65CC0">
        <w:rPr>
          <w:rFonts w:asciiTheme="majorBidi" w:hAnsiTheme="majorBidi" w:cstheme="majorBidi"/>
          <w:b/>
          <w:bCs/>
          <w:sz w:val="20"/>
          <w:szCs w:val="20"/>
        </w:rPr>
        <w:t>, 2019)</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155"/>
        <w:gridCol w:w="3750"/>
        <w:gridCol w:w="4455"/>
      </w:tblGrid>
      <w:tr w:rsidR="00E65CC0" w:rsidRPr="00E65CC0" w14:paraId="1953C984" w14:textId="77777777" w:rsidTr="00E65CC0">
        <w:trPr>
          <w:tblHeader/>
        </w:trPr>
        <w:tc>
          <w:tcPr>
            <w:tcW w:w="0" w:type="auto"/>
            <w:tcMar>
              <w:top w:w="15" w:type="dxa"/>
              <w:left w:w="0" w:type="dxa"/>
              <w:bottom w:w="15" w:type="dxa"/>
              <w:right w:w="15" w:type="dxa"/>
            </w:tcMar>
            <w:vAlign w:val="center"/>
            <w:hideMark/>
          </w:tcPr>
          <w:p w14:paraId="7973C638" w14:textId="77777777" w:rsidR="00E65CC0" w:rsidRPr="00E65CC0" w:rsidRDefault="00E65CC0" w:rsidP="00E65CC0">
            <w:pPr>
              <w:spacing w:after="0" w:line="240" w:lineRule="auto"/>
              <w:contextualSpacing/>
              <w:jc w:val="both"/>
              <w:rPr>
                <w:rFonts w:asciiTheme="majorBidi" w:hAnsiTheme="majorBidi" w:cstheme="majorBidi"/>
                <w:b/>
                <w:bCs/>
                <w:sz w:val="20"/>
                <w:szCs w:val="20"/>
              </w:rPr>
            </w:pPr>
            <w:r w:rsidRPr="00E65CC0">
              <w:rPr>
                <w:rFonts w:asciiTheme="majorBidi" w:hAnsiTheme="majorBidi" w:cstheme="majorBidi"/>
                <w:b/>
                <w:bCs/>
                <w:sz w:val="20"/>
                <w:szCs w:val="20"/>
              </w:rPr>
              <w:t>Policy Type</w:t>
            </w:r>
          </w:p>
        </w:tc>
        <w:tc>
          <w:tcPr>
            <w:tcW w:w="0" w:type="auto"/>
            <w:vAlign w:val="center"/>
            <w:hideMark/>
          </w:tcPr>
          <w:p w14:paraId="69885A30" w14:textId="77777777" w:rsidR="00E65CC0" w:rsidRPr="00E65CC0" w:rsidRDefault="00E65CC0" w:rsidP="00E65CC0">
            <w:pPr>
              <w:spacing w:after="0" w:line="240" w:lineRule="auto"/>
              <w:contextualSpacing/>
              <w:jc w:val="both"/>
              <w:rPr>
                <w:rFonts w:asciiTheme="majorBidi" w:hAnsiTheme="majorBidi" w:cstheme="majorBidi"/>
                <w:b/>
                <w:bCs/>
                <w:sz w:val="20"/>
                <w:szCs w:val="20"/>
              </w:rPr>
            </w:pPr>
            <w:r w:rsidRPr="00E65CC0">
              <w:rPr>
                <w:rFonts w:asciiTheme="majorBidi" w:hAnsiTheme="majorBidi" w:cstheme="majorBidi"/>
                <w:b/>
                <w:bCs/>
                <w:sz w:val="20"/>
                <w:szCs w:val="20"/>
              </w:rPr>
              <w:t>Objective</w:t>
            </w:r>
          </w:p>
        </w:tc>
        <w:tc>
          <w:tcPr>
            <w:tcW w:w="0" w:type="auto"/>
            <w:vAlign w:val="center"/>
            <w:hideMark/>
          </w:tcPr>
          <w:p w14:paraId="2EF8C96B" w14:textId="77777777" w:rsidR="00E65CC0" w:rsidRPr="00E65CC0" w:rsidRDefault="00E65CC0" w:rsidP="00E65CC0">
            <w:pPr>
              <w:spacing w:after="0" w:line="240" w:lineRule="auto"/>
              <w:contextualSpacing/>
              <w:jc w:val="both"/>
              <w:rPr>
                <w:rFonts w:asciiTheme="majorBidi" w:hAnsiTheme="majorBidi" w:cstheme="majorBidi"/>
                <w:b/>
                <w:bCs/>
                <w:sz w:val="20"/>
                <w:szCs w:val="20"/>
              </w:rPr>
            </w:pPr>
            <w:r w:rsidRPr="00E65CC0">
              <w:rPr>
                <w:rFonts w:asciiTheme="majorBidi" w:hAnsiTheme="majorBidi" w:cstheme="majorBidi"/>
                <w:b/>
                <w:bCs/>
                <w:sz w:val="20"/>
                <w:szCs w:val="20"/>
              </w:rPr>
              <w:t>Example</w:t>
            </w:r>
          </w:p>
        </w:tc>
      </w:tr>
      <w:tr w:rsidR="00E65CC0" w:rsidRPr="00E65CC0" w14:paraId="029BAA95" w14:textId="77777777" w:rsidTr="00E65CC0">
        <w:tc>
          <w:tcPr>
            <w:tcW w:w="0" w:type="auto"/>
            <w:tcMar>
              <w:top w:w="15" w:type="dxa"/>
              <w:left w:w="0" w:type="dxa"/>
              <w:bottom w:w="15" w:type="dxa"/>
              <w:right w:w="15" w:type="dxa"/>
            </w:tcMar>
            <w:vAlign w:val="center"/>
            <w:hideMark/>
          </w:tcPr>
          <w:p w14:paraId="3E6696E8"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Market Shaping</w:t>
            </w:r>
          </w:p>
        </w:tc>
        <w:tc>
          <w:tcPr>
            <w:tcW w:w="0" w:type="auto"/>
            <w:vAlign w:val="center"/>
            <w:hideMark/>
          </w:tcPr>
          <w:p w14:paraId="00B826D7"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To shape the environment in which market actions and transactions occur.</w:t>
            </w:r>
          </w:p>
        </w:tc>
        <w:tc>
          <w:tcPr>
            <w:tcW w:w="0" w:type="auto"/>
            <w:vAlign w:val="center"/>
            <w:hideMark/>
          </w:tcPr>
          <w:p w14:paraId="33B6B071"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Legal development programs, transportation investment plans, codes for sustainable housing.</w:t>
            </w:r>
          </w:p>
        </w:tc>
      </w:tr>
      <w:tr w:rsidR="00E65CC0" w:rsidRPr="00E65CC0" w14:paraId="230DDCD2" w14:textId="77777777" w:rsidTr="00E65CC0">
        <w:tc>
          <w:tcPr>
            <w:tcW w:w="0" w:type="auto"/>
            <w:tcMar>
              <w:top w:w="15" w:type="dxa"/>
              <w:left w:w="0" w:type="dxa"/>
              <w:bottom w:w="15" w:type="dxa"/>
              <w:right w:w="15" w:type="dxa"/>
            </w:tcMar>
            <w:vAlign w:val="center"/>
            <w:hideMark/>
          </w:tcPr>
          <w:p w14:paraId="28EBD8B4"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Market Regulation</w:t>
            </w:r>
          </w:p>
        </w:tc>
        <w:tc>
          <w:tcPr>
            <w:tcW w:w="0" w:type="auto"/>
            <w:vAlign w:val="center"/>
            <w:hideMark/>
          </w:tcPr>
          <w:p w14:paraId="7AE546EC"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To regulate or control market actions and transactions, ensuring consideration of externalities and public interests.</w:t>
            </w:r>
          </w:p>
        </w:tc>
        <w:tc>
          <w:tcPr>
            <w:tcW w:w="0" w:type="auto"/>
            <w:vAlign w:val="center"/>
            <w:hideMark/>
          </w:tcPr>
          <w:p w14:paraId="48DEB68B"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Development control/management, building regulations, restrictive covenants related to public land sales.</w:t>
            </w:r>
          </w:p>
        </w:tc>
      </w:tr>
      <w:tr w:rsidR="00E65CC0" w:rsidRPr="00E65CC0" w14:paraId="43C7D017" w14:textId="77777777" w:rsidTr="00E65CC0">
        <w:tc>
          <w:tcPr>
            <w:tcW w:w="0" w:type="auto"/>
            <w:tcMar>
              <w:top w:w="15" w:type="dxa"/>
              <w:left w:w="0" w:type="dxa"/>
              <w:bottom w:w="15" w:type="dxa"/>
              <w:right w:w="15" w:type="dxa"/>
            </w:tcMar>
            <w:vAlign w:val="center"/>
            <w:hideMark/>
          </w:tcPr>
          <w:p w14:paraId="65DD3476"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Market Stimulation</w:t>
            </w:r>
          </w:p>
        </w:tc>
        <w:tc>
          <w:tcPr>
            <w:tcW w:w="0" w:type="auto"/>
            <w:vAlign w:val="center"/>
            <w:hideMark/>
          </w:tcPr>
          <w:p w14:paraId="72327A57"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To directly influence financial evaluations, making the market function better.</w:t>
            </w:r>
          </w:p>
        </w:tc>
        <w:tc>
          <w:tcPr>
            <w:tcW w:w="0" w:type="auto"/>
            <w:vAlign w:val="center"/>
            <w:hideMark/>
          </w:tcPr>
          <w:p w14:paraId="158C55E4"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Land assembly and release, grants or tax exemptions to encourage desirable activities, or taxes to deter undesirable activities.</w:t>
            </w:r>
          </w:p>
        </w:tc>
      </w:tr>
      <w:tr w:rsidR="00E65CC0" w:rsidRPr="00E65CC0" w14:paraId="01DC5209" w14:textId="77777777" w:rsidTr="00E65CC0">
        <w:tc>
          <w:tcPr>
            <w:tcW w:w="0" w:type="auto"/>
            <w:tcMar>
              <w:top w:w="15" w:type="dxa"/>
              <w:left w:w="0" w:type="dxa"/>
              <w:bottom w:w="15" w:type="dxa"/>
              <w:right w:w="15" w:type="dxa"/>
            </w:tcMar>
            <w:vAlign w:val="center"/>
            <w:hideMark/>
          </w:tcPr>
          <w:p w14:paraId="6386C809"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lastRenderedPageBreak/>
              <w:t>Capacity Building</w:t>
            </w:r>
          </w:p>
        </w:tc>
        <w:tc>
          <w:tcPr>
            <w:tcW w:w="0" w:type="auto"/>
            <w:vAlign w:val="center"/>
            <w:hideMark/>
          </w:tcPr>
          <w:p w14:paraId="44B4FEA0"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To build the capacity of public and/or market operators.</w:t>
            </w:r>
          </w:p>
        </w:tc>
        <w:tc>
          <w:tcPr>
            <w:tcW w:w="0" w:type="auto"/>
            <w:vAlign w:val="center"/>
            <w:hideMark/>
          </w:tcPr>
          <w:p w14:paraId="6E99158A" w14:textId="77777777" w:rsidR="00E65CC0" w:rsidRPr="00E65CC0" w:rsidRDefault="00E65CC0" w:rsidP="00E65CC0">
            <w:pPr>
              <w:spacing w:after="0" w:line="240" w:lineRule="auto"/>
              <w:contextualSpacing/>
              <w:jc w:val="both"/>
              <w:rPr>
                <w:rFonts w:asciiTheme="majorBidi" w:hAnsiTheme="majorBidi" w:cstheme="majorBidi"/>
                <w:sz w:val="20"/>
                <w:szCs w:val="20"/>
              </w:rPr>
            </w:pPr>
            <w:r w:rsidRPr="00E65CC0">
              <w:rPr>
                <w:rFonts w:asciiTheme="majorBidi" w:hAnsiTheme="majorBidi" w:cstheme="majorBidi"/>
                <w:sz w:val="20"/>
                <w:szCs w:val="20"/>
              </w:rPr>
              <w:t>Public-private development partnerships, skill promotion for sustainable communities.</w:t>
            </w:r>
          </w:p>
        </w:tc>
      </w:tr>
    </w:tbl>
    <w:p w14:paraId="09400F23" w14:textId="77777777" w:rsidR="00E65CC0" w:rsidRDefault="00E65CC0" w:rsidP="00E65CC0">
      <w:pPr>
        <w:spacing w:after="0" w:line="240" w:lineRule="auto"/>
        <w:contextualSpacing/>
        <w:jc w:val="both"/>
        <w:rPr>
          <w:rFonts w:asciiTheme="majorBidi" w:hAnsiTheme="majorBidi" w:cstheme="majorBidi"/>
        </w:rPr>
      </w:pPr>
    </w:p>
    <w:p w14:paraId="7C43E354" w14:textId="3CDE37CE"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t>Interventions in the housing market through affordable housing appear to provide adequate housing for specific groups of people. Government intervention typically takes various forms. It may involve taxes or subsidies, direct ownership and/or participation in investment, and the provision of goods and services, or it may take the form of administrative/regulatory controls (</w:t>
      </w:r>
      <w:proofErr w:type="spellStart"/>
      <w:r w:rsidRPr="00E65CC0">
        <w:rPr>
          <w:rFonts w:asciiTheme="majorBidi" w:hAnsiTheme="majorBidi" w:cstheme="majorBidi"/>
        </w:rPr>
        <w:t>Musole</w:t>
      </w:r>
      <w:proofErr w:type="spellEnd"/>
      <w:r w:rsidRPr="00E65CC0">
        <w:rPr>
          <w:rFonts w:asciiTheme="majorBidi" w:hAnsiTheme="majorBidi" w:cstheme="majorBidi"/>
        </w:rPr>
        <w:t>, 2009). Public-private partnerships are also a form of government intervention (</w:t>
      </w:r>
      <w:proofErr w:type="spellStart"/>
      <w:r w:rsidRPr="00E65CC0">
        <w:rPr>
          <w:rFonts w:asciiTheme="majorBidi" w:hAnsiTheme="majorBidi" w:cstheme="majorBidi"/>
        </w:rPr>
        <w:t>Masseram</w:t>
      </w:r>
      <w:proofErr w:type="spellEnd"/>
      <w:r w:rsidRPr="00E65CC0">
        <w:rPr>
          <w:rFonts w:asciiTheme="majorBidi" w:hAnsiTheme="majorBidi" w:cstheme="majorBidi"/>
        </w:rPr>
        <w:t xml:space="preserve"> and </w:t>
      </w:r>
      <w:proofErr w:type="spellStart"/>
      <w:r w:rsidRPr="00E65CC0">
        <w:rPr>
          <w:rFonts w:asciiTheme="majorBidi" w:hAnsiTheme="majorBidi" w:cstheme="majorBidi"/>
        </w:rPr>
        <w:t>Misnan</w:t>
      </w:r>
      <w:proofErr w:type="spellEnd"/>
      <w:r w:rsidRPr="00E65CC0">
        <w:rPr>
          <w:rFonts w:asciiTheme="majorBidi" w:hAnsiTheme="majorBidi" w:cstheme="majorBidi"/>
        </w:rPr>
        <w:t>, 2019).</w:t>
      </w:r>
    </w:p>
    <w:p w14:paraId="53751955" w14:textId="0E228A0C"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t>Agarwal</w:t>
      </w:r>
      <w:r w:rsidRPr="00E65CC0">
        <w:rPr>
          <w:rFonts w:asciiTheme="majorBidi" w:hAnsiTheme="majorBidi" w:cstheme="majorBidi"/>
        </w:rPr>
        <w:t xml:space="preserve"> </w:t>
      </w:r>
      <w:r w:rsidRPr="00E65CC0">
        <w:rPr>
          <w:rFonts w:asciiTheme="majorBidi" w:hAnsiTheme="majorBidi" w:cstheme="majorBidi"/>
        </w:rPr>
        <w:t>et al. (2022) conducted a study titled "Affordable Housing in an Indian City," in which they reviewed critical success factors (CSFs) in addressing the adequacy and affordability of housing for low-income individuals in the city. They produced a comprehensive list of all parameters, both qualitative and quantitative, essential for the successful implementation of housing, focusing on demand-side preferences, also known as "critical success factors (CSFs)." The results suggest careful consideration and integration of these CSFs into housing policies for all future housing projects. The study highlights a gap in achieving a balanced understanding of supply-side constraints and demand-side expectations for housing. Focusing solely on supply without adequate understanding of consumption can only lead to further chaos in the already troubled housing situation.</w:t>
      </w:r>
    </w:p>
    <w:p w14:paraId="4E59C08C" w14:textId="77777777" w:rsidR="00E65CC0" w:rsidRPr="00E65CC0" w:rsidRDefault="00E65CC0" w:rsidP="00E65CC0">
      <w:pPr>
        <w:spacing w:after="0" w:line="240" w:lineRule="auto"/>
        <w:contextualSpacing/>
        <w:jc w:val="both"/>
        <w:rPr>
          <w:rFonts w:asciiTheme="majorBidi" w:hAnsiTheme="majorBidi" w:cstheme="majorBidi"/>
        </w:rPr>
      </w:pPr>
      <w:proofErr w:type="spellStart"/>
      <w:r w:rsidRPr="00E65CC0">
        <w:rPr>
          <w:rFonts w:asciiTheme="majorBidi" w:hAnsiTheme="majorBidi" w:cstheme="majorBidi"/>
        </w:rPr>
        <w:t>McAskill</w:t>
      </w:r>
      <w:proofErr w:type="spellEnd"/>
      <w:r w:rsidRPr="00E65CC0">
        <w:rPr>
          <w:rFonts w:asciiTheme="majorBidi" w:hAnsiTheme="majorBidi" w:cstheme="majorBidi"/>
        </w:rPr>
        <w:t xml:space="preserve"> et al. (2021) conducted a study titled "Examining the Outcomes of Green Affordable Housing Policy in Australia Using a Systems Approach." They identified the Australian affordable rental housing sector as historically facing barriers to the adoption of green building (GB) practices, despite incentives and financial support from the Commonwealth. The study, through sensitivity analysis, recommended policy reforms that would bring the benefits of green affordable housing without significantly compromising the housing stock provided by the proposed program.</w:t>
      </w:r>
    </w:p>
    <w:p w14:paraId="643C9F90" w14:textId="66D61ED6"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t>Zhang et al. (2021) conducted a study titled "Spatial Subsidy Benefits: Spatial Decision-Making for Affordable Housing in China." In this study, a conceptual model of spatially subsidized benefits</w:t>
      </w:r>
      <w:r w:rsidRPr="00E65CC0">
        <w:rPr>
          <w:rFonts w:asciiTheme="majorBidi" w:hAnsiTheme="majorBidi" w:cstheme="majorBidi"/>
        </w:rPr>
        <w:t xml:space="preserve"> </w:t>
      </w:r>
      <w:r w:rsidRPr="00E65CC0">
        <w:rPr>
          <w:rFonts w:asciiTheme="majorBidi" w:hAnsiTheme="majorBidi" w:cstheme="majorBidi"/>
        </w:rPr>
        <w:t>(SSBs) for affordable housing was proposed by combining affordable housing prices and ordinary commodity housing prices in a given or adjacent location in the city. Using the case of Wuhan (China), the spatial layout of SSBs for affordable housing in the city was simulated under multiple hypothetical scenarios.</w:t>
      </w:r>
    </w:p>
    <w:p w14:paraId="04C235F3" w14:textId="77777777"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t>Chen et al. (2021) conducted a study titled "Examining Social Vulnerability to Flooding in Affordable Housing Communities in Nanjing, China," aimed at building long-term resilience for low-income communities against disasters. They noted that in the context of climate change and rapid urbanization, urban flood disasters frequently occur worldwide, and social vulnerability has become an important theoretical perspective for understanding the occurrence and response to flood disasters.</w:t>
      </w:r>
    </w:p>
    <w:p w14:paraId="299C6E91" w14:textId="77777777" w:rsidR="00E65CC0" w:rsidRPr="00E65CC0" w:rsidRDefault="00E65CC0" w:rsidP="00E65CC0">
      <w:pPr>
        <w:spacing w:after="0" w:line="240" w:lineRule="auto"/>
        <w:contextualSpacing/>
        <w:jc w:val="both"/>
        <w:rPr>
          <w:rFonts w:asciiTheme="majorBidi" w:hAnsiTheme="majorBidi" w:cstheme="majorBidi"/>
        </w:rPr>
      </w:pPr>
      <w:proofErr w:type="spellStart"/>
      <w:r w:rsidRPr="00E65CC0">
        <w:rPr>
          <w:rFonts w:asciiTheme="majorBidi" w:hAnsiTheme="majorBidi" w:cstheme="majorBidi"/>
        </w:rPr>
        <w:t>Safaipour</w:t>
      </w:r>
      <w:proofErr w:type="spellEnd"/>
      <w:r w:rsidRPr="00E65CC0">
        <w:rPr>
          <w:rFonts w:asciiTheme="majorBidi" w:hAnsiTheme="majorBidi" w:cstheme="majorBidi"/>
        </w:rPr>
        <w:t xml:space="preserve"> and </w:t>
      </w:r>
      <w:proofErr w:type="spellStart"/>
      <w:r w:rsidRPr="00E65CC0">
        <w:rPr>
          <w:rFonts w:asciiTheme="majorBidi" w:hAnsiTheme="majorBidi" w:cstheme="majorBidi"/>
        </w:rPr>
        <w:t>Fadaei</w:t>
      </w:r>
      <w:proofErr w:type="spellEnd"/>
      <w:r w:rsidRPr="00E65CC0">
        <w:rPr>
          <w:rFonts w:asciiTheme="majorBidi" w:hAnsiTheme="majorBidi" w:cstheme="majorBidi"/>
        </w:rPr>
        <w:t xml:space="preserve"> </w:t>
      </w:r>
      <w:proofErr w:type="spellStart"/>
      <w:r w:rsidRPr="00E65CC0">
        <w:rPr>
          <w:rFonts w:asciiTheme="majorBidi" w:hAnsiTheme="majorBidi" w:cstheme="majorBidi"/>
        </w:rPr>
        <w:t>Jazi</w:t>
      </w:r>
      <w:proofErr w:type="spellEnd"/>
      <w:r w:rsidRPr="00E65CC0">
        <w:rPr>
          <w:rFonts w:asciiTheme="majorBidi" w:hAnsiTheme="majorBidi" w:cstheme="majorBidi"/>
        </w:rPr>
        <w:t xml:space="preserve"> (2023) described housing as one of the most fundamental and sensitive sectors in economic and social development planning. The article highlighted that the formation of housing depends on cultural, climatic, economic-livelihood, and construction-technical factors of the user community. Providing suitable housing depends on housing market conditions, macroeconomic status, demographic changes, housing demand, social and political trends, governmental approaches, and internal capacities.</w:t>
      </w:r>
    </w:p>
    <w:p w14:paraId="714A687F" w14:textId="77777777" w:rsidR="00E65CC0" w:rsidRPr="00E65CC0" w:rsidRDefault="00E65CC0" w:rsidP="00E65CC0">
      <w:pPr>
        <w:spacing w:after="0" w:line="240" w:lineRule="auto"/>
        <w:contextualSpacing/>
        <w:jc w:val="both"/>
        <w:rPr>
          <w:rFonts w:asciiTheme="majorBidi" w:hAnsiTheme="majorBidi" w:cstheme="majorBidi"/>
        </w:rPr>
      </w:pPr>
      <w:proofErr w:type="spellStart"/>
      <w:r w:rsidRPr="00E65CC0">
        <w:rPr>
          <w:rFonts w:asciiTheme="majorBidi" w:hAnsiTheme="majorBidi" w:cstheme="majorBidi"/>
        </w:rPr>
        <w:t>Tabaei</w:t>
      </w:r>
      <w:proofErr w:type="spellEnd"/>
      <w:r w:rsidRPr="00E65CC0">
        <w:rPr>
          <w:rFonts w:asciiTheme="majorBidi" w:hAnsiTheme="majorBidi" w:cstheme="majorBidi"/>
        </w:rPr>
        <w:t xml:space="preserve"> et al. (2022) conducted a study titled "The Inclusive City: A Novel Approach in Urban Planning for Tabriz." In this study, they stated that an inclusive city is a novel approach to achieving affordable needs, including housing and services, access to suitable jobs and opportunities (to create assets and wealth), and equal rights and participation for all members of the urban community. It requires consideration of spatial, social, and economic dimensions.</w:t>
      </w:r>
    </w:p>
    <w:p w14:paraId="4E97B657" w14:textId="77777777" w:rsidR="00E65CC0" w:rsidRPr="00E65CC0" w:rsidRDefault="00E65CC0" w:rsidP="00E65CC0">
      <w:pPr>
        <w:spacing w:after="0" w:line="240" w:lineRule="auto"/>
        <w:contextualSpacing/>
        <w:jc w:val="both"/>
        <w:rPr>
          <w:rFonts w:asciiTheme="majorBidi" w:hAnsiTheme="majorBidi" w:cstheme="majorBidi"/>
        </w:rPr>
      </w:pPr>
      <w:proofErr w:type="spellStart"/>
      <w:r w:rsidRPr="00E65CC0">
        <w:rPr>
          <w:rFonts w:asciiTheme="majorBidi" w:hAnsiTheme="majorBidi" w:cstheme="majorBidi"/>
        </w:rPr>
        <w:t>Ranjbar</w:t>
      </w:r>
      <w:proofErr w:type="spellEnd"/>
      <w:r w:rsidRPr="00E65CC0">
        <w:rPr>
          <w:rFonts w:asciiTheme="majorBidi" w:hAnsiTheme="majorBidi" w:cstheme="majorBidi"/>
        </w:rPr>
        <w:t xml:space="preserve"> et al. (2021) conducted a study titled "Examining the Impact of Physical Indicators of Affordable Housing from an Energy Efficiency Perspective, with a Review of Global Examples." The study noted that, given the growth of the urban population worldwide, energy consumption and greenhouse gas emissions have become one of the most critical issues and challenges facing the world in achieving sustainable growth, particularly for low-income urban groups.</w:t>
      </w:r>
    </w:p>
    <w:p w14:paraId="2D3AF828" w14:textId="77777777" w:rsidR="00E65CC0" w:rsidRPr="00E65CC0" w:rsidRDefault="00E65CC0" w:rsidP="00E65CC0">
      <w:pPr>
        <w:spacing w:after="0" w:line="240" w:lineRule="auto"/>
        <w:contextualSpacing/>
        <w:jc w:val="both"/>
        <w:rPr>
          <w:rFonts w:asciiTheme="majorBidi" w:hAnsiTheme="majorBidi" w:cstheme="majorBidi"/>
        </w:rPr>
      </w:pPr>
      <w:r w:rsidRPr="00E65CC0">
        <w:rPr>
          <w:rFonts w:asciiTheme="majorBidi" w:hAnsiTheme="majorBidi" w:cstheme="majorBidi"/>
        </w:rPr>
        <w:lastRenderedPageBreak/>
        <w:t>Based on the research background, it is evident that no similar study has been conducted to date, which is why this research is significant. In summary, the concepts discussed regarding the research topic can be presented in the form of Figure 1.</w:t>
      </w:r>
    </w:p>
    <w:p w14:paraId="38C0A0A2" w14:textId="54B43F8D" w:rsidR="00BF1010" w:rsidRDefault="00BF1010" w:rsidP="006104F0">
      <w:pPr>
        <w:spacing w:after="0" w:line="240" w:lineRule="auto"/>
        <w:contextualSpacing/>
        <w:jc w:val="both"/>
        <w:rPr>
          <w:rFonts w:asciiTheme="majorBidi" w:hAnsiTheme="majorBidi" w:cstheme="majorBidi"/>
        </w:rPr>
      </w:pPr>
    </w:p>
    <w:p w14:paraId="21F6F4D8" w14:textId="69932667" w:rsidR="00073290" w:rsidRDefault="00073290" w:rsidP="006104F0">
      <w:pPr>
        <w:spacing w:after="0" w:line="240" w:lineRule="auto"/>
        <w:contextualSpacing/>
        <w:jc w:val="both"/>
        <w:rPr>
          <w:rFonts w:asciiTheme="majorBidi" w:hAnsiTheme="majorBidi" w:cstheme="majorBidi"/>
          <w:rtl/>
        </w:rPr>
      </w:pPr>
      <w:r>
        <w:rPr>
          <w:noProof/>
        </w:rPr>
        <w:drawing>
          <wp:inline distT="0" distB="0" distL="0" distR="0" wp14:anchorId="13351304" wp14:editId="05BCF358">
            <wp:extent cx="5943600" cy="3309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09620"/>
                    </a:xfrm>
                    <a:prstGeom prst="rect">
                      <a:avLst/>
                    </a:prstGeom>
                  </pic:spPr>
                </pic:pic>
              </a:graphicData>
            </a:graphic>
          </wp:inline>
        </w:drawing>
      </w:r>
    </w:p>
    <w:p w14:paraId="2C3EEEC0" w14:textId="77777777" w:rsidR="00C45F76" w:rsidRPr="00C45F76" w:rsidRDefault="00C45F76" w:rsidP="00C45F76">
      <w:pPr>
        <w:spacing w:after="0" w:line="240" w:lineRule="auto"/>
        <w:contextualSpacing/>
        <w:jc w:val="center"/>
        <w:rPr>
          <w:rFonts w:asciiTheme="majorBidi" w:hAnsiTheme="majorBidi" w:cstheme="majorBidi"/>
        </w:rPr>
      </w:pPr>
      <w:r w:rsidRPr="00C45F76">
        <w:rPr>
          <w:rFonts w:asciiTheme="majorBidi" w:hAnsiTheme="majorBidi" w:cstheme="majorBidi"/>
          <w:b/>
          <w:bCs/>
        </w:rPr>
        <w:t>Figure 1: Conceptual Model of the Research</w:t>
      </w:r>
    </w:p>
    <w:p w14:paraId="1C54C458" w14:textId="77777777" w:rsidR="00C45F76" w:rsidRDefault="00C45F76" w:rsidP="00C45F76">
      <w:pPr>
        <w:spacing w:after="0" w:line="240" w:lineRule="auto"/>
        <w:contextualSpacing/>
        <w:jc w:val="both"/>
        <w:rPr>
          <w:rFonts w:asciiTheme="majorBidi" w:hAnsiTheme="majorBidi" w:cstheme="majorBidi"/>
          <w:b/>
          <w:bCs/>
        </w:rPr>
      </w:pPr>
    </w:p>
    <w:p w14:paraId="055A07F5" w14:textId="74848E52" w:rsidR="00C45F76" w:rsidRPr="00C45F76" w:rsidRDefault="00C45F76" w:rsidP="00C45F76">
      <w:pPr>
        <w:spacing w:after="0" w:line="240" w:lineRule="auto"/>
        <w:contextualSpacing/>
        <w:jc w:val="both"/>
        <w:rPr>
          <w:rFonts w:asciiTheme="majorBidi" w:hAnsiTheme="majorBidi" w:cstheme="majorBidi"/>
        </w:rPr>
      </w:pPr>
      <w:r w:rsidRPr="00C45F76">
        <w:rPr>
          <w:rFonts w:asciiTheme="majorBidi" w:hAnsiTheme="majorBidi" w:cstheme="majorBidi"/>
          <w:b/>
          <w:bCs/>
        </w:rPr>
        <w:t>Methodology</w:t>
      </w:r>
      <w:r w:rsidRPr="00C45F76">
        <w:rPr>
          <w:rFonts w:asciiTheme="majorBidi" w:hAnsiTheme="majorBidi" w:cstheme="majorBidi"/>
        </w:rPr>
        <w:br/>
        <w:t>This research is an applied developmental study as it aims to solve a problem. It is exploratory in nature as it seeks to build theory and does not have hypotheses. A mixed-method approach was used for data collection and analysis, combining qualitative and quantitative methods. The study population includes all experts in the field of affordable housing, professionals working in the housing sector, and university professors specializing in architecture and urban planning.</w:t>
      </w:r>
    </w:p>
    <w:p w14:paraId="69EFEB10" w14:textId="77777777" w:rsidR="00C45F76" w:rsidRPr="00C45F76" w:rsidRDefault="00C45F76" w:rsidP="00C45F76">
      <w:pPr>
        <w:spacing w:after="0" w:line="240" w:lineRule="auto"/>
        <w:contextualSpacing/>
        <w:jc w:val="both"/>
        <w:rPr>
          <w:rFonts w:asciiTheme="majorBidi" w:hAnsiTheme="majorBidi" w:cstheme="majorBidi"/>
        </w:rPr>
      </w:pPr>
      <w:r w:rsidRPr="00C45F76">
        <w:rPr>
          <w:rFonts w:asciiTheme="majorBidi" w:hAnsiTheme="majorBidi" w:cstheme="majorBidi"/>
        </w:rPr>
        <w:t xml:space="preserve">In the qualitative phase, the snowball sampling method and purposive interviews were used alongside meta-synthesis to extract indicators from 33 articles. The researcher determined the stopping point for sampling based on reaching saturation (5 participants). Factors such as time, accessibility of interviewees, and their level of cooperation were considered in selecting the sample size. In the quantitative phase, a researcher-made questionnaire derived from the interview stage was designed. Using Cochran's formula, a sample of 384 experts and informed professionals was selected, and 273 questionnaires were returned. Given a response rate of over 70%, the data were analyzed using confirmatory factor analysis. Validity and reliability in the qualitative phase were confirmed using </w:t>
      </w:r>
      <w:proofErr w:type="spellStart"/>
      <w:r w:rsidRPr="00C45F76">
        <w:rPr>
          <w:rFonts w:asciiTheme="majorBidi" w:hAnsiTheme="majorBidi" w:cstheme="majorBidi"/>
        </w:rPr>
        <w:t>Lawshe</w:t>
      </w:r>
      <w:proofErr w:type="spellEnd"/>
      <w:r w:rsidRPr="00C45F76">
        <w:rPr>
          <w:rFonts w:asciiTheme="majorBidi" w:hAnsiTheme="majorBidi" w:cstheme="majorBidi"/>
        </w:rPr>
        <w:t xml:space="preserve"> and Kappa, while in the quantitative phase, discriminant validity and Cronbach's alpha were used, both of which were appropriate. Data analysis was performed using the </w:t>
      </w:r>
      <w:proofErr w:type="spellStart"/>
      <w:r w:rsidRPr="00C45F76">
        <w:rPr>
          <w:rFonts w:asciiTheme="majorBidi" w:hAnsiTheme="majorBidi" w:cstheme="majorBidi"/>
        </w:rPr>
        <w:t>SmartPLS</w:t>
      </w:r>
      <w:proofErr w:type="spellEnd"/>
      <w:r w:rsidRPr="00C45F76">
        <w:rPr>
          <w:rFonts w:asciiTheme="majorBidi" w:hAnsiTheme="majorBidi" w:cstheme="majorBidi"/>
        </w:rPr>
        <w:t xml:space="preserve"> software.</w:t>
      </w:r>
    </w:p>
    <w:p w14:paraId="5EE00F63" w14:textId="77777777" w:rsidR="00C45F76" w:rsidRDefault="00C45F76" w:rsidP="00C45F76">
      <w:pPr>
        <w:spacing w:after="0" w:line="240" w:lineRule="auto"/>
        <w:contextualSpacing/>
        <w:jc w:val="both"/>
        <w:rPr>
          <w:rFonts w:asciiTheme="majorBidi" w:hAnsiTheme="majorBidi" w:cstheme="majorBidi"/>
          <w:b/>
          <w:bCs/>
        </w:rPr>
      </w:pPr>
    </w:p>
    <w:p w14:paraId="3419B355" w14:textId="54BB44AC" w:rsidR="00C45F76" w:rsidRDefault="00C45F76" w:rsidP="00C45F76">
      <w:pPr>
        <w:spacing w:after="0" w:line="240" w:lineRule="auto"/>
        <w:contextualSpacing/>
        <w:jc w:val="both"/>
        <w:rPr>
          <w:rFonts w:asciiTheme="majorBidi" w:hAnsiTheme="majorBidi" w:cstheme="majorBidi"/>
        </w:rPr>
      </w:pPr>
      <w:r w:rsidRPr="00C45F76">
        <w:rPr>
          <w:rFonts w:asciiTheme="majorBidi" w:hAnsiTheme="majorBidi" w:cstheme="majorBidi"/>
          <w:b/>
          <w:bCs/>
        </w:rPr>
        <w:t>Findings</w:t>
      </w:r>
      <w:r w:rsidRPr="00C45F76">
        <w:rPr>
          <w:rFonts w:asciiTheme="majorBidi" w:hAnsiTheme="majorBidi" w:cstheme="majorBidi"/>
        </w:rPr>
        <w:br/>
        <w:t>In this section, first, using the meta-synthesis method, 431 articles with relevant titles were reviewed, of which 120 had relevant abstracts. From these, only 33 articles had findings (secondary data) consistent with the research. Then, interviews with 5 experts, whose details are provided in Table (4), were conducted to complete the factors influencing affordable housing based on Iran's socio-cultural patterns.</w:t>
      </w:r>
    </w:p>
    <w:p w14:paraId="2F46500E" w14:textId="77777777" w:rsidR="00C45F76" w:rsidRPr="00C45F76" w:rsidRDefault="00C45F76" w:rsidP="00C45F76">
      <w:pPr>
        <w:spacing w:after="0" w:line="240" w:lineRule="auto"/>
        <w:contextualSpacing/>
        <w:jc w:val="both"/>
        <w:rPr>
          <w:rFonts w:asciiTheme="majorBidi" w:hAnsiTheme="majorBidi" w:cstheme="majorBidi"/>
        </w:rPr>
      </w:pPr>
    </w:p>
    <w:p w14:paraId="1D99AB6F" w14:textId="77777777" w:rsidR="00186732" w:rsidRDefault="00186732" w:rsidP="00C45F76">
      <w:pPr>
        <w:spacing w:after="0" w:line="240" w:lineRule="auto"/>
        <w:contextualSpacing/>
        <w:jc w:val="center"/>
        <w:rPr>
          <w:rFonts w:asciiTheme="majorBidi" w:hAnsiTheme="majorBidi" w:cstheme="majorBidi"/>
          <w:b/>
          <w:bCs/>
        </w:rPr>
      </w:pPr>
    </w:p>
    <w:p w14:paraId="59019AA5" w14:textId="2500751D"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b/>
          <w:bCs/>
          <w:sz w:val="20"/>
          <w:szCs w:val="20"/>
        </w:rPr>
        <w:lastRenderedPageBreak/>
        <w:t>Table (4): Expert Demographics</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10"/>
        <w:gridCol w:w="700"/>
        <w:gridCol w:w="364"/>
        <w:gridCol w:w="1680"/>
        <w:gridCol w:w="1669"/>
      </w:tblGrid>
      <w:tr w:rsidR="00C45F76" w:rsidRPr="00C45F76" w14:paraId="076BE8A0" w14:textId="77777777" w:rsidTr="00C45F76">
        <w:trPr>
          <w:tblHeader/>
          <w:jc w:val="center"/>
        </w:trPr>
        <w:tc>
          <w:tcPr>
            <w:tcW w:w="0" w:type="auto"/>
            <w:tcMar>
              <w:top w:w="15" w:type="dxa"/>
              <w:left w:w="0" w:type="dxa"/>
              <w:bottom w:w="15" w:type="dxa"/>
              <w:right w:w="15" w:type="dxa"/>
            </w:tcMar>
            <w:vAlign w:val="center"/>
            <w:hideMark/>
          </w:tcPr>
          <w:p w14:paraId="2D9692D2" w14:textId="77777777" w:rsidR="00C45F76" w:rsidRPr="00C45F76" w:rsidRDefault="00C45F76" w:rsidP="00C45F76">
            <w:pPr>
              <w:spacing w:after="0" w:line="240" w:lineRule="auto"/>
              <w:contextualSpacing/>
              <w:jc w:val="center"/>
              <w:rPr>
                <w:rFonts w:asciiTheme="majorBidi" w:hAnsiTheme="majorBidi" w:cstheme="majorBidi"/>
                <w:b/>
                <w:bCs/>
                <w:sz w:val="20"/>
                <w:szCs w:val="20"/>
              </w:rPr>
            </w:pPr>
            <w:r w:rsidRPr="00C45F76">
              <w:rPr>
                <w:rFonts w:asciiTheme="majorBidi" w:hAnsiTheme="majorBidi" w:cstheme="majorBidi"/>
                <w:b/>
                <w:bCs/>
                <w:sz w:val="20"/>
                <w:szCs w:val="20"/>
              </w:rPr>
              <w:t>No.</w:t>
            </w:r>
          </w:p>
        </w:tc>
        <w:tc>
          <w:tcPr>
            <w:tcW w:w="0" w:type="auto"/>
            <w:vAlign w:val="center"/>
            <w:hideMark/>
          </w:tcPr>
          <w:p w14:paraId="048B44D4" w14:textId="77777777" w:rsidR="00C45F76" w:rsidRPr="00C45F76" w:rsidRDefault="00C45F76" w:rsidP="00C45F76">
            <w:pPr>
              <w:spacing w:after="0" w:line="240" w:lineRule="auto"/>
              <w:contextualSpacing/>
              <w:jc w:val="center"/>
              <w:rPr>
                <w:rFonts w:asciiTheme="majorBidi" w:hAnsiTheme="majorBidi" w:cstheme="majorBidi"/>
                <w:b/>
                <w:bCs/>
                <w:sz w:val="20"/>
                <w:szCs w:val="20"/>
              </w:rPr>
            </w:pPr>
            <w:r w:rsidRPr="00C45F76">
              <w:rPr>
                <w:rFonts w:asciiTheme="majorBidi" w:hAnsiTheme="majorBidi" w:cstheme="majorBidi"/>
                <w:b/>
                <w:bCs/>
                <w:sz w:val="20"/>
                <w:szCs w:val="20"/>
              </w:rPr>
              <w:t>Degree</w:t>
            </w:r>
          </w:p>
        </w:tc>
        <w:tc>
          <w:tcPr>
            <w:tcW w:w="0" w:type="auto"/>
            <w:vAlign w:val="center"/>
            <w:hideMark/>
          </w:tcPr>
          <w:p w14:paraId="6DDC37E1" w14:textId="77777777" w:rsidR="00C45F76" w:rsidRPr="00C45F76" w:rsidRDefault="00C45F76" w:rsidP="00C45F76">
            <w:pPr>
              <w:spacing w:after="0" w:line="240" w:lineRule="auto"/>
              <w:contextualSpacing/>
              <w:jc w:val="center"/>
              <w:rPr>
                <w:rFonts w:asciiTheme="majorBidi" w:hAnsiTheme="majorBidi" w:cstheme="majorBidi"/>
                <w:b/>
                <w:bCs/>
                <w:sz w:val="20"/>
                <w:szCs w:val="20"/>
              </w:rPr>
            </w:pPr>
            <w:r w:rsidRPr="00C45F76">
              <w:rPr>
                <w:rFonts w:asciiTheme="majorBidi" w:hAnsiTheme="majorBidi" w:cstheme="majorBidi"/>
                <w:b/>
                <w:bCs/>
                <w:sz w:val="20"/>
                <w:szCs w:val="20"/>
              </w:rPr>
              <w:t>Age</w:t>
            </w:r>
          </w:p>
        </w:tc>
        <w:tc>
          <w:tcPr>
            <w:tcW w:w="0" w:type="auto"/>
            <w:vAlign w:val="center"/>
            <w:hideMark/>
          </w:tcPr>
          <w:p w14:paraId="34589BCA" w14:textId="77777777" w:rsidR="00C45F76" w:rsidRPr="00C45F76" w:rsidRDefault="00C45F76" w:rsidP="00C45F76">
            <w:pPr>
              <w:spacing w:after="0" w:line="240" w:lineRule="auto"/>
              <w:contextualSpacing/>
              <w:jc w:val="center"/>
              <w:rPr>
                <w:rFonts w:asciiTheme="majorBidi" w:hAnsiTheme="majorBidi" w:cstheme="majorBidi"/>
                <w:b/>
                <w:bCs/>
                <w:sz w:val="20"/>
                <w:szCs w:val="20"/>
              </w:rPr>
            </w:pPr>
            <w:r w:rsidRPr="00C45F76">
              <w:rPr>
                <w:rFonts w:asciiTheme="majorBidi" w:hAnsiTheme="majorBidi" w:cstheme="majorBidi"/>
                <w:b/>
                <w:bCs/>
                <w:sz w:val="20"/>
                <w:szCs w:val="20"/>
              </w:rPr>
              <w:t>Occupation</w:t>
            </w:r>
          </w:p>
        </w:tc>
        <w:tc>
          <w:tcPr>
            <w:tcW w:w="0" w:type="auto"/>
            <w:vAlign w:val="center"/>
            <w:hideMark/>
          </w:tcPr>
          <w:p w14:paraId="465D6156" w14:textId="77777777" w:rsidR="00C45F76" w:rsidRPr="00C45F76" w:rsidRDefault="00C45F76" w:rsidP="00C45F76">
            <w:pPr>
              <w:spacing w:after="0" w:line="240" w:lineRule="auto"/>
              <w:contextualSpacing/>
              <w:jc w:val="center"/>
              <w:rPr>
                <w:rFonts w:asciiTheme="majorBidi" w:hAnsiTheme="majorBidi" w:cstheme="majorBidi"/>
                <w:b/>
                <w:bCs/>
                <w:sz w:val="20"/>
                <w:szCs w:val="20"/>
              </w:rPr>
            </w:pPr>
            <w:r w:rsidRPr="00C45F76">
              <w:rPr>
                <w:rFonts w:asciiTheme="majorBidi" w:hAnsiTheme="majorBidi" w:cstheme="majorBidi"/>
                <w:b/>
                <w:bCs/>
                <w:sz w:val="20"/>
                <w:szCs w:val="20"/>
              </w:rPr>
              <w:t>Experience (Years)</w:t>
            </w:r>
          </w:p>
        </w:tc>
      </w:tr>
      <w:tr w:rsidR="00C45F76" w:rsidRPr="00C45F76" w14:paraId="470AF87A" w14:textId="77777777" w:rsidTr="00C45F76">
        <w:trPr>
          <w:jc w:val="center"/>
        </w:trPr>
        <w:tc>
          <w:tcPr>
            <w:tcW w:w="0" w:type="auto"/>
            <w:tcMar>
              <w:top w:w="15" w:type="dxa"/>
              <w:left w:w="0" w:type="dxa"/>
              <w:bottom w:w="15" w:type="dxa"/>
              <w:right w:w="15" w:type="dxa"/>
            </w:tcMar>
            <w:vAlign w:val="center"/>
            <w:hideMark/>
          </w:tcPr>
          <w:p w14:paraId="51C8076F"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1</w:t>
            </w:r>
          </w:p>
        </w:tc>
        <w:tc>
          <w:tcPr>
            <w:tcW w:w="0" w:type="auto"/>
            <w:vAlign w:val="center"/>
            <w:hideMark/>
          </w:tcPr>
          <w:p w14:paraId="01D207D7"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PhD</w:t>
            </w:r>
          </w:p>
        </w:tc>
        <w:tc>
          <w:tcPr>
            <w:tcW w:w="0" w:type="auto"/>
            <w:vAlign w:val="center"/>
            <w:hideMark/>
          </w:tcPr>
          <w:p w14:paraId="718386C3"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46</w:t>
            </w:r>
          </w:p>
        </w:tc>
        <w:tc>
          <w:tcPr>
            <w:tcW w:w="0" w:type="auto"/>
            <w:vAlign w:val="center"/>
            <w:hideMark/>
          </w:tcPr>
          <w:p w14:paraId="5DD5E7DE"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University Professor</w:t>
            </w:r>
          </w:p>
        </w:tc>
        <w:tc>
          <w:tcPr>
            <w:tcW w:w="0" w:type="auto"/>
            <w:vAlign w:val="center"/>
            <w:hideMark/>
          </w:tcPr>
          <w:p w14:paraId="722D1852"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18</w:t>
            </w:r>
          </w:p>
        </w:tc>
      </w:tr>
      <w:tr w:rsidR="00C45F76" w:rsidRPr="00C45F76" w14:paraId="5D75B053" w14:textId="77777777" w:rsidTr="00C45F76">
        <w:trPr>
          <w:jc w:val="center"/>
        </w:trPr>
        <w:tc>
          <w:tcPr>
            <w:tcW w:w="0" w:type="auto"/>
            <w:tcMar>
              <w:top w:w="15" w:type="dxa"/>
              <w:left w:w="0" w:type="dxa"/>
              <w:bottom w:w="15" w:type="dxa"/>
              <w:right w:w="15" w:type="dxa"/>
            </w:tcMar>
            <w:vAlign w:val="center"/>
            <w:hideMark/>
          </w:tcPr>
          <w:p w14:paraId="0AEB2F60"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2</w:t>
            </w:r>
          </w:p>
        </w:tc>
        <w:tc>
          <w:tcPr>
            <w:tcW w:w="0" w:type="auto"/>
            <w:vAlign w:val="center"/>
            <w:hideMark/>
          </w:tcPr>
          <w:p w14:paraId="7B851B30"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PhD</w:t>
            </w:r>
          </w:p>
        </w:tc>
        <w:tc>
          <w:tcPr>
            <w:tcW w:w="0" w:type="auto"/>
            <w:vAlign w:val="center"/>
            <w:hideMark/>
          </w:tcPr>
          <w:p w14:paraId="3C70EBCF"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49</w:t>
            </w:r>
          </w:p>
        </w:tc>
        <w:tc>
          <w:tcPr>
            <w:tcW w:w="0" w:type="auto"/>
            <w:vAlign w:val="center"/>
            <w:hideMark/>
          </w:tcPr>
          <w:p w14:paraId="53134947"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University Professor</w:t>
            </w:r>
          </w:p>
        </w:tc>
        <w:tc>
          <w:tcPr>
            <w:tcW w:w="0" w:type="auto"/>
            <w:vAlign w:val="center"/>
            <w:hideMark/>
          </w:tcPr>
          <w:p w14:paraId="25EF03E8"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25</w:t>
            </w:r>
          </w:p>
        </w:tc>
      </w:tr>
      <w:tr w:rsidR="00C45F76" w:rsidRPr="00C45F76" w14:paraId="7765DE62" w14:textId="77777777" w:rsidTr="00C45F76">
        <w:trPr>
          <w:jc w:val="center"/>
        </w:trPr>
        <w:tc>
          <w:tcPr>
            <w:tcW w:w="0" w:type="auto"/>
            <w:tcMar>
              <w:top w:w="15" w:type="dxa"/>
              <w:left w:w="0" w:type="dxa"/>
              <w:bottom w:w="15" w:type="dxa"/>
              <w:right w:w="15" w:type="dxa"/>
            </w:tcMar>
            <w:vAlign w:val="center"/>
            <w:hideMark/>
          </w:tcPr>
          <w:p w14:paraId="06FA4037"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3</w:t>
            </w:r>
          </w:p>
        </w:tc>
        <w:tc>
          <w:tcPr>
            <w:tcW w:w="0" w:type="auto"/>
            <w:vAlign w:val="center"/>
            <w:hideMark/>
          </w:tcPr>
          <w:p w14:paraId="497E2C36"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Master's</w:t>
            </w:r>
          </w:p>
        </w:tc>
        <w:tc>
          <w:tcPr>
            <w:tcW w:w="0" w:type="auto"/>
            <w:vAlign w:val="center"/>
            <w:hideMark/>
          </w:tcPr>
          <w:p w14:paraId="0872F03B"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55</w:t>
            </w:r>
          </w:p>
        </w:tc>
        <w:tc>
          <w:tcPr>
            <w:tcW w:w="0" w:type="auto"/>
            <w:vAlign w:val="center"/>
            <w:hideMark/>
          </w:tcPr>
          <w:p w14:paraId="3C76CE64"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Manager</w:t>
            </w:r>
          </w:p>
        </w:tc>
        <w:tc>
          <w:tcPr>
            <w:tcW w:w="0" w:type="auto"/>
            <w:vAlign w:val="center"/>
            <w:hideMark/>
          </w:tcPr>
          <w:p w14:paraId="34D8ACB1"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16</w:t>
            </w:r>
          </w:p>
        </w:tc>
      </w:tr>
      <w:tr w:rsidR="00C45F76" w:rsidRPr="00C45F76" w14:paraId="12C54C66" w14:textId="77777777" w:rsidTr="00C45F76">
        <w:trPr>
          <w:jc w:val="center"/>
        </w:trPr>
        <w:tc>
          <w:tcPr>
            <w:tcW w:w="0" w:type="auto"/>
            <w:tcMar>
              <w:top w:w="15" w:type="dxa"/>
              <w:left w:w="0" w:type="dxa"/>
              <w:bottom w:w="15" w:type="dxa"/>
              <w:right w:w="15" w:type="dxa"/>
            </w:tcMar>
            <w:vAlign w:val="center"/>
            <w:hideMark/>
          </w:tcPr>
          <w:p w14:paraId="1A115EDF"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4</w:t>
            </w:r>
          </w:p>
        </w:tc>
        <w:tc>
          <w:tcPr>
            <w:tcW w:w="0" w:type="auto"/>
            <w:vAlign w:val="center"/>
            <w:hideMark/>
          </w:tcPr>
          <w:p w14:paraId="277161DC"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PhD</w:t>
            </w:r>
          </w:p>
        </w:tc>
        <w:tc>
          <w:tcPr>
            <w:tcW w:w="0" w:type="auto"/>
            <w:vAlign w:val="center"/>
            <w:hideMark/>
          </w:tcPr>
          <w:p w14:paraId="43C40E63"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61</w:t>
            </w:r>
          </w:p>
        </w:tc>
        <w:tc>
          <w:tcPr>
            <w:tcW w:w="0" w:type="auto"/>
            <w:vAlign w:val="center"/>
            <w:hideMark/>
          </w:tcPr>
          <w:p w14:paraId="5368C128"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Manager</w:t>
            </w:r>
          </w:p>
        </w:tc>
        <w:tc>
          <w:tcPr>
            <w:tcW w:w="0" w:type="auto"/>
            <w:vAlign w:val="center"/>
            <w:hideMark/>
          </w:tcPr>
          <w:p w14:paraId="74C70986"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22</w:t>
            </w:r>
          </w:p>
        </w:tc>
      </w:tr>
      <w:tr w:rsidR="00C45F76" w:rsidRPr="00C45F76" w14:paraId="6259966B" w14:textId="77777777" w:rsidTr="00C45F76">
        <w:trPr>
          <w:jc w:val="center"/>
        </w:trPr>
        <w:tc>
          <w:tcPr>
            <w:tcW w:w="0" w:type="auto"/>
            <w:tcMar>
              <w:top w:w="15" w:type="dxa"/>
              <w:left w:w="0" w:type="dxa"/>
              <w:bottom w:w="15" w:type="dxa"/>
              <w:right w:w="15" w:type="dxa"/>
            </w:tcMar>
            <w:vAlign w:val="center"/>
            <w:hideMark/>
          </w:tcPr>
          <w:p w14:paraId="36109C21"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5</w:t>
            </w:r>
          </w:p>
        </w:tc>
        <w:tc>
          <w:tcPr>
            <w:tcW w:w="0" w:type="auto"/>
            <w:vAlign w:val="center"/>
            <w:hideMark/>
          </w:tcPr>
          <w:p w14:paraId="364264DF"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PhD</w:t>
            </w:r>
          </w:p>
        </w:tc>
        <w:tc>
          <w:tcPr>
            <w:tcW w:w="0" w:type="auto"/>
            <w:vAlign w:val="center"/>
            <w:hideMark/>
          </w:tcPr>
          <w:p w14:paraId="2C249269"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59</w:t>
            </w:r>
          </w:p>
        </w:tc>
        <w:tc>
          <w:tcPr>
            <w:tcW w:w="0" w:type="auto"/>
            <w:vAlign w:val="center"/>
            <w:hideMark/>
          </w:tcPr>
          <w:p w14:paraId="12117FFE"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University Professor</w:t>
            </w:r>
          </w:p>
        </w:tc>
        <w:tc>
          <w:tcPr>
            <w:tcW w:w="0" w:type="auto"/>
            <w:vAlign w:val="center"/>
            <w:hideMark/>
          </w:tcPr>
          <w:p w14:paraId="4467EF71" w14:textId="77777777" w:rsidR="00C45F76" w:rsidRPr="00C45F76" w:rsidRDefault="00C45F76" w:rsidP="00C45F76">
            <w:pPr>
              <w:spacing w:after="0" w:line="240" w:lineRule="auto"/>
              <w:contextualSpacing/>
              <w:jc w:val="center"/>
              <w:rPr>
                <w:rFonts w:asciiTheme="majorBidi" w:hAnsiTheme="majorBidi" w:cstheme="majorBidi"/>
                <w:sz w:val="20"/>
                <w:szCs w:val="20"/>
              </w:rPr>
            </w:pPr>
            <w:r w:rsidRPr="00C45F76">
              <w:rPr>
                <w:rFonts w:asciiTheme="majorBidi" w:hAnsiTheme="majorBidi" w:cstheme="majorBidi"/>
                <w:sz w:val="20"/>
                <w:szCs w:val="20"/>
              </w:rPr>
              <w:t>10</w:t>
            </w:r>
          </w:p>
        </w:tc>
      </w:tr>
    </w:tbl>
    <w:p w14:paraId="79FC320E" w14:textId="77777777" w:rsidR="00C45F76" w:rsidRDefault="00C45F76" w:rsidP="00C45F76">
      <w:pPr>
        <w:spacing w:after="0" w:line="240" w:lineRule="auto"/>
        <w:contextualSpacing/>
        <w:jc w:val="both"/>
        <w:rPr>
          <w:rFonts w:asciiTheme="majorBidi" w:hAnsiTheme="majorBidi" w:cstheme="majorBidi"/>
        </w:rPr>
      </w:pPr>
    </w:p>
    <w:p w14:paraId="21EC74F1" w14:textId="6AFDC1FB" w:rsidR="00C45F76" w:rsidRDefault="00C45F76" w:rsidP="00C45F76">
      <w:pPr>
        <w:spacing w:after="0" w:line="240" w:lineRule="auto"/>
        <w:contextualSpacing/>
        <w:jc w:val="both"/>
        <w:rPr>
          <w:rFonts w:asciiTheme="majorBidi" w:hAnsiTheme="majorBidi" w:cstheme="majorBidi"/>
        </w:rPr>
      </w:pPr>
      <w:r w:rsidRPr="00C45F76">
        <w:rPr>
          <w:rFonts w:asciiTheme="majorBidi" w:hAnsiTheme="majorBidi" w:cstheme="majorBidi"/>
        </w:rPr>
        <w:t>The selection of the individuals listed in the table above was based on their expertise, education, relevant experience, and accessibility. The results of the thematic analysis from the first stage (meta-synthesis) are presented in Table (5). This table shows the themes extracted from expert interviews alongside related themes from the literature.</w:t>
      </w:r>
    </w:p>
    <w:p w14:paraId="24079DC5" w14:textId="58B361E6" w:rsidR="000101C1" w:rsidRDefault="000101C1" w:rsidP="00C45F76">
      <w:pPr>
        <w:spacing w:after="0" w:line="240" w:lineRule="auto"/>
        <w:contextualSpacing/>
        <w:jc w:val="both"/>
        <w:rPr>
          <w:rFonts w:asciiTheme="majorBidi" w:hAnsiTheme="majorBidi" w:cstheme="majorBidi"/>
        </w:rPr>
      </w:pPr>
    </w:p>
    <w:p w14:paraId="3DA1B707" w14:textId="77777777" w:rsidR="000101C1" w:rsidRPr="000101C1" w:rsidRDefault="000101C1" w:rsidP="000101C1">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Table (5): Themes (Indicators/Dimensions and Characteristics)</w:t>
      </w:r>
    </w:p>
    <w:tbl>
      <w:tblPr>
        <w:tblW w:w="0" w:type="auto"/>
        <w:tblCellMar>
          <w:top w:w="15" w:type="dxa"/>
          <w:left w:w="15" w:type="dxa"/>
          <w:bottom w:w="15" w:type="dxa"/>
          <w:right w:w="15" w:type="dxa"/>
        </w:tblCellMar>
        <w:tblLook w:val="04A0" w:firstRow="1" w:lastRow="0" w:firstColumn="1" w:lastColumn="0" w:noHBand="0" w:noVBand="1"/>
      </w:tblPr>
      <w:tblGrid>
        <w:gridCol w:w="3274"/>
        <w:gridCol w:w="4207"/>
        <w:gridCol w:w="1879"/>
      </w:tblGrid>
      <w:tr w:rsidR="000101C1" w:rsidRPr="000101C1" w14:paraId="5CBAA0B5" w14:textId="77777777" w:rsidTr="000101C1">
        <w:trPr>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FF766A0" w14:textId="77777777" w:rsidR="000101C1" w:rsidRPr="000101C1" w:rsidRDefault="000101C1" w:rsidP="00DD24AD">
            <w:pPr>
              <w:spacing w:after="0" w:line="240" w:lineRule="auto"/>
              <w:contextualSpacing/>
              <w:jc w:val="center"/>
              <w:rPr>
                <w:rFonts w:asciiTheme="majorBidi" w:hAnsiTheme="majorBidi" w:cstheme="majorBidi"/>
                <w:b/>
                <w:bCs/>
                <w:sz w:val="20"/>
                <w:szCs w:val="20"/>
              </w:rPr>
            </w:pPr>
            <w:r w:rsidRPr="000101C1">
              <w:rPr>
                <w:rFonts w:asciiTheme="majorBidi" w:hAnsiTheme="majorBidi" w:cstheme="majorBidi"/>
                <w:b/>
                <w:bCs/>
                <w:sz w:val="20"/>
                <w:szCs w:val="20"/>
              </w:rPr>
              <w:t>Core Category</w:t>
            </w:r>
          </w:p>
        </w:tc>
        <w:tc>
          <w:tcPr>
            <w:tcW w:w="0" w:type="auto"/>
            <w:tcBorders>
              <w:top w:val="single" w:sz="4" w:space="0" w:color="auto"/>
              <w:bottom w:val="single" w:sz="4" w:space="0" w:color="auto"/>
            </w:tcBorders>
            <w:vAlign w:val="center"/>
            <w:hideMark/>
          </w:tcPr>
          <w:p w14:paraId="5128F538" w14:textId="77777777" w:rsidR="000101C1" w:rsidRPr="000101C1" w:rsidRDefault="000101C1" w:rsidP="00DD24AD">
            <w:pPr>
              <w:spacing w:after="0" w:line="240" w:lineRule="auto"/>
              <w:contextualSpacing/>
              <w:rPr>
                <w:rFonts w:asciiTheme="majorBidi" w:hAnsiTheme="majorBidi" w:cstheme="majorBidi"/>
                <w:b/>
                <w:bCs/>
                <w:sz w:val="20"/>
                <w:szCs w:val="20"/>
              </w:rPr>
            </w:pPr>
            <w:r w:rsidRPr="000101C1">
              <w:rPr>
                <w:rFonts w:asciiTheme="majorBidi" w:hAnsiTheme="majorBidi" w:cstheme="majorBidi"/>
                <w:b/>
                <w:bCs/>
                <w:sz w:val="20"/>
                <w:szCs w:val="20"/>
              </w:rPr>
              <w:t>Themes (Indicators/Dimensions and Characteristics)</w:t>
            </w:r>
          </w:p>
        </w:tc>
        <w:tc>
          <w:tcPr>
            <w:tcW w:w="0" w:type="auto"/>
            <w:tcBorders>
              <w:top w:val="single" w:sz="4" w:space="0" w:color="auto"/>
              <w:bottom w:val="single" w:sz="4" w:space="0" w:color="auto"/>
            </w:tcBorders>
            <w:vAlign w:val="center"/>
            <w:hideMark/>
          </w:tcPr>
          <w:p w14:paraId="2B54512B" w14:textId="77777777" w:rsidR="000101C1" w:rsidRPr="000101C1" w:rsidRDefault="000101C1" w:rsidP="00DD24AD">
            <w:pPr>
              <w:spacing w:after="0" w:line="240" w:lineRule="auto"/>
              <w:contextualSpacing/>
              <w:jc w:val="center"/>
              <w:rPr>
                <w:rFonts w:asciiTheme="majorBidi" w:hAnsiTheme="majorBidi" w:cstheme="majorBidi"/>
                <w:b/>
                <w:bCs/>
                <w:sz w:val="20"/>
                <w:szCs w:val="20"/>
              </w:rPr>
            </w:pPr>
            <w:r w:rsidRPr="000101C1">
              <w:rPr>
                <w:rFonts w:asciiTheme="majorBidi" w:hAnsiTheme="majorBidi" w:cstheme="majorBidi"/>
                <w:b/>
                <w:bCs/>
                <w:sz w:val="20"/>
                <w:szCs w:val="20"/>
              </w:rPr>
              <w:t>Source of Themes</w:t>
            </w:r>
          </w:p>
        </w:tc>
      </w:tr>
      <w:tr w:rsidR="000101C1" w:rsidRPr="000101C1" w14:paraId="1991B111" w14:textId="77777777" w:rsidTr="000101C1">
        <w:tc>
          <w:tcPr>
            <w:tcW w:w="0" w:type="auto"/>
            <w:tcBorders>
              <w:top w:val="single" w:sz="4" w:space="0" w:color="auto"/>
            </w:tcBorders>
            <w:tcMar>
              <w:top w:w="15" w:type="dxa"/>
              <w:left w:w="0" w:type="dxa"/>
              <w:bottom w:w="15" w:type="dxa"/>
              <w:right w:w="15" w:type="dxa"/>
            </w:tcMar>
            <w:vAlign w:val="center"/>
            <w:hideMark/>
          </w:tcPr>
          <w:p w14:paraId="7EB4218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Flexibility in Design and Adaptability of Spaces</w:t>
            </w:r>
          </w:p>
        </w:tc>
        <w:tc>
          <w:tcPr>
            <w:tcW w:w="0" w:type="auto"/>
            <w:tcBorders>
              <w:top w:val="single" w:sz="4" w:space="0" w:color="auto"/>
              <w:bottom w:val="single" w:sz="4" w:space="0" w:color="auto"/>
            </w:tcBorders>
            <w:vAlign w:val="center"/>
            <w:hideMark/>
          </w:tcPr>
          <w:p w14:paraId="5F77602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Flexibility at micro and macro scales (ability to change the type and proportion of residential units)</w:t>
            </w:r>
          </w:p>
        </w:tc>
        <w:tc>
          <w:tcPr>
            <w:tcW w:w="0" w:type="auto"/>
            <w:tcBorders>
              <w:top w:val="single" w:sz="4" w:space="0" w:color="auto"/>
              <w:bottom w:val="single" w:sz="4" w:space="0" w:color="auto"/>
            </w:tcBorders>
            <w:vAlign w:val="center"/>
            <w:hideMark/>
          </w:tcPr>
          <w:p w14:paraId="01B1B5A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Tiantian</w:t>
            </w:r>
            <w:proofErr w:type="spellEnd"/>
            <w:r w:rsidRPr="000101C1">
              <w:rPr>
                <w:rFonts w:asciiTheme="majorBidi" w:hAnsiTheme="majorBidi" w:cstheme="majorBidi"/>
                <w:sz w:val="20"/>
                <w:szCs w:val="20"/>
              </w:rPr>
              <w:t xml:space="preserve"> et al. (2024)</w:t>
            </w:r>
          </w:p>
        </w:tc>
      </w:tr>
      <w:tr w:rsidR="000101C1" w:rsidRPr="000101C1" w14:paraId="498AC528" w14:textId="77777777" w:rsidTr="000101C1">
        <w:tc>
          <w:tcPr>
            <w:tcW w:w="0" w:type="auto"/>
            <w:tcMar>
              <w:top w:w="15" w:type="dxa"/>
              <w:left w:w="0" w:type="dxa"/>
              <w:bottom w:w="15" w:type="dxa"/>
              <w:right w:w="15" w:type="dxa"/>
            </w:tcMar>
            <w:vAlign w:val="center"/>
            <w:hideMark/>
          </w:tcPr>
          <w:p w14:paraId="054288E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48B11CF"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Flexibility aligned with user demand</w:t>
            </w:r>
          </w:p>
        </w:tc>
        <w:tc>
          <w:tcPr>
            <w:tcW w:w="0" w:type="auto"/>
            <w:tcBorders>
              <w:top w:val="single" w:sz="4" w:space="0" w:color="auto"/>
              <w:bottom w:val="single" w:sz="4" w:space="0" w:color="auto"/>
            </w:tcBorders>
            <w:vAlign w:val="center"/>
            <w:hideMark/>
          </w:tcPr>
          <w:p w14:paraId="463710C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Bensouda et al. (2024), P1, P5</w:t>
            </w:r>
          </w:p>
        </w:tc>
      </w:tr>
      <w:tr w:rsidR="000101C1" w:rsidRPr="000101C1" w14:paraId="5522C93D" w14:textId="77777777" w:rsidTr="000101C1">
        <w:tc>
          <w:tcPr>
            <w:tcW w:w="0" w:type="auto"/>
            <w:tcMar>
              <w:top w:w="15" w:type="dxa"/>
              <w:left w:w="0" w:type="dxa"/>
              <w:bottom w:w="15" w:type="dxa"/>
              <w:right w:w="15" w:type="dxa"/>
            </w:tcMar>
            <w:vAlign w:val="center"/>
            <w:hideMark/>
          </w:tcPr>
          <w:p w14:paraId="6BBA71D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AAE049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Coverage of various aspects of life</w:t>
            </w:r>
          </w:p>
        </w:tc>
        <w:tc>
          <w:tcPr>
            <w:tcW w:w="0" w:type="auto"/>
            <w:tcBorders>
              <w:top w:val="single" w:sz="4" w:space="0" w:color="auto"/>
              <w:bottom w:val="single" w:sz="4" w:space="0" w:color="auto"/>
            </w:tcBorders>
            <w:vAlign w:val="center"/>
            <w:hideMark/>
          </w:tcPr>
          <w:p w14:paraId="30F2292F"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van der Horst (2024), P1, P2</w:t>
            </w:r>
          </w:p>
        </w:tc>
      </w:tr>
      <w:tr w:rsidR="000101C1" w:rsidRPr="000101C1" w14:paraId="0790BA6B" w14:textId="77777777" w:rsidTr="000101C1">
        <w:tc>
          <w:tcPr>
            <w:tcW w:w="0" w:type="auto"/>
            <w:tcMar>
              <w:top w:w="15" w:type="dxa"/>
              <w:left w:w="0" w:type="dxa"/>
              <w:bottom w:w="15" w:type="dxa"/>
              <w:right w:w="15" w:type="dxa"/>
            </w:tcMar>
            <w:vAlign w:val="center"/>
            <w:hideMark/>
          </w:tcPr>
          <w:p w14:paraId="328F08D8"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4531E9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Ability to change layouts to accommodate periodic and regular changes in family structure</w:t>
            </w:r>
          </w:p>
        </w:tc>
        <w:tc>
          <w:tcPr>
            <w:tcW w:w="0" w:type="auto"/>
            <w:tcBorders>
              <w:top w:val="single" w:sz="4" w:space="0" w:color="auto"/>
              <w:bottom w:val="single" w:sz="4" w:space="0" w:color="auto"/>
            </w:tcBorders>
            <w:vAlign w:val="center"/>
            <w:hideMark/>
          </w:tcPr>
          <w:p w14:paraId="73C92B5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Tiantian</w:t>
            </w:r>
            <w:proofErr w:type="spellEnd"/>
            <w:r w:rsidRPr="000101C1">
              <w:rPr>
                <w:rFonts w:asciiTheme="majorBidi" w:hAnsiTheme="majorBidi" w:cstheme="majorBidi"/>
                <w:sz w:val="20"/>
                <w:szCs w:val="20"/>
              </w:rPr>
              <w:t xml:space="preserve"> et al. (2024), van der Horst (2024)</w:t>
            </w:r>
          </w:p>
        </w:tc>
      </w:tr>
      <w:tr w:rsidR="000101C1" w:rsidRPr="000101C1" w14:paraId="06F7BCD1" w14:textId="77777777" w:rsidTr="000101C1">
        <w:tc>
          <w:tcPr>
            <w:tcW w:w="0" w:type="auto"/>
            <w:tcMar>
              <w:top w:w="15" w:type="dxa"/>
              <w:left w:w="0" w:type="dxa"/>
              <w:bottom w:w="15" w:type="dxa"/>
              <w:right w:w="15" w:type="dxa"/>
            </w:tcMar>
            <w:vAlign w:val="center"/>
            <w:hideMark/>
          </w:tcPr>
          <w:p w14:paraId="564C60A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B23DE7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Variety in appearance for multiple building roles</w:t>
            </w:r>
          </w:p>
        </w:tc>
        <w:tc>
          <w:tcPr>
            <w:tcW w:w="0" w:type="auto"/>
            <w:tcBorders>
              <w:top w:val="single" w:sz="4" w:space="0" w:color="auto"/>
              <w:bottom w:val="single" w:sz="4" w:space="0" w:color="auto"/>
            </w:tcBorders>
            <w:vAlign w:val="center"/>
            <w:hideMark/>
          </w:tcPr>
          <w:p w14:paraId="3A19B313"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Vertua</w:t>
            </w:r>
            <w:proofErr w:type="spellEnd"/>
            <w:r w:rsidRPr="000101C1">
              <w:rPr>
                <w:rFonts w:asciiTheme="majorBidi" w:hAnsiTheme="majorBidi" w:cstheme="majorBidi"/>
                <w:sz w:val="20"/>
                <w:szCs w:val="20"/>
              </w:rPr>
              <w:t xml:space="preserve"> (2021)</w:t>
            </w:r>
          </w:p>
        </w:tc>
      </w:tr>
      <w:tr w:rsidR="000101C1" w:rsidRPr="000101C1" w14:paraId="72D0E2F1" w14:textId="77777777" w:rsidTr="000101C1">
        <w:tc>
          <w:tcPr>
            <w:tcW w:w="0" w:type="auto"/>
            <w:tcMar>
              <w:top w:w="15" w:type="dxa"/>
              <w:left w:w="0" w:type="dxa"/>
              <w:bottom w:w="15" w:type="dxa"/>
              <w:right w:w="15" w:type="dxa"/>
            </w:tcMar>
            <w:vAlign w:val="center"/>
            <w:hideMark/>
          </w:tcPr>
          <w:p w14:paraId="69135A6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67F9E9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Compatibility with multi-generational family needs</w:t>
            </w:r>
          </w:p>
        </w:tc>
        <w:tc>
          <w:tcPr>
            <w:tcW w:w="0" w:type="auto"/>
            <w:tcBorders>
              <w:top w:val="single" w:sz="4" w:space="0" w:color="auto"/>
              <w:bottom w:val="single" w:sz="4" w:space="0" w:color="auto"/>
            </w:tcBorders>
            <w:vAlign w:val="center"/>
            <w:hideMark/>
          </w:tcPr>
          <w:p w14:paraId="08F324A1"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van der Horst (2024)</w:t>
            </w:r>
          </w:p>
        </w:tc>
      </w:tr>
      <w:tr w:rsidR="000101C1" w:rsidRPr="000101C1" w14:paraId="3EC41C85" w14:textId="77777777" w:rsidTr="000101C1">
        <w:tc>
          <w:tcPr>
            <w:tcW w:w="0" w:type="auto"/>
            <w:tcMar>
              <w:top w:w="15" w:type="dxa"/>
              <w:left w:w="0" w:type="dxa"/>
              <w:bottom w:w="15" w:type="dxa"/>
              <w:right w:w="15" w:type="dxa"/>
            </w:tcMar>
            <w:vAlign w:val="center"/>
            <w:hideMark/>
          </w:tcPr>
          <w:p w14:paraId="529F291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EF7523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Design tailored to customer preferences and changing needs</w:t>
            </w:r>
          </w:p>
        </w:tc>
        <w:tc>
          <w:tcPr>
            <w:tcW w:w="0" w:type="auto"/>
            <w:tcBorders>
              <w:top w:val="single" w:sz="4" w:space="0" w:color="auto"/>
              <w:bottom w:val="single" w:sz="4" w:space="0" w:color="auto"/>
            </w:tcBorders>
            <w:vAlign w:val="center"/>
            <w:hideMark/>
          </w:tcPr>
          <w:p w14:paraId="31199DB6"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Tiantian</w:t>
            </w:r>
            <w:proofErr w:type="spellEnd"/>
            <w:r w:rsidRPr="000101C1">
              <w:rPr>
                <w:rFonts w:asciiTheme="majorBidi" w:hAnsiTheme="majorBidi" w:cstheme="majorBidi"/>
                <w:sz w:val="20"/>
                <w:szCs w:val="20"/>
              </w:rPr>
              <w:t xml:space="preserve"> et al. (2024), P2, P4</w:t>
            </w:r>
          </w:p>
        </w:tc>
      </w:tr>
      <w:tr w:rsidR="000101C1" w:rsidRPr="000101C1" w14:paraId="0FC8AA78" w14:textId="77777777" w:rsidTr="000101C1">
        <w:tc>
          <w:tcPr>
            <w:tcW w:w="0" w:type="auto"/>
            <w:tcMar>
              <w:top w:w="15" w:type="dxa"/>
              <w:left w:w="0" w:type="dxa"/>
              <w:bottom w:w="15" w:type="dxa"/>
              <w:right w:w="15" w:type="dxa"/>
            </w:tcMar>
            <w:vAlign w:val="center"/>
            <w:hideMark/>
          </w:tcPr>
          <w:p w14:paraId="0486E62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637EC6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Determining unit size based on customer needs</w:t>
            </w:r>
          </w:p>
        </w:tc>
        <w:tc>
          <w:tcPr>
            <w:tcW w:w="0" w:type="auto"/>
            <w:tcBorders>
              <w:top w:val="single" w:sz="4" w:space="0" w:color="auto"/>
              <w:bottom w:val="single" w:sz="4" w:space="0" w:color="auto"/>
            </w:tcBorders>
            <w:vAlign w:val="center"/>
            <w:hideMark/>
          </w:tcPr>
          <w:p w14:paraId="6A746EB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Bensouda et al. (2024)</w:t>
            </w:r>
          </w:p>
        </w:tc>
      </w:tr>
      <w:tr w:rsidR="000101C1" w:rsidRPr="000101C1" w14:paraId="05E73C12" w14:textId="77777777" w:rsidTr="000101C1">
        <w:tc>
          <w:tcPr>
            <w:tcW w:w="0" w:type="auto"/>
            <w:tcMar>
              <w:top w:w="15" w:type="dxa"/>
              <w:left w:w="0" w:type="dxa"/>
              <w:bottom w:w="15" w:type="dxa"/>
              <w:right w:w="15" w:type="dxa"/>
            </w:tcMar>
            <w:vAlign w:val="center"/>
            <w:hideMark/>
          </w:tcPr>
          <w:p w14:paraId="2040695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2167E8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Reducing the number of load-bearing walls</w:t>
            </w:r>
          </w:p>
        </w:tc>
        <w:tc>
          <w:tcPr>
            <w:tcW w:w="0" w:type="auto"/>
            <w:tcBorders>
              <w:top w:val="single" w:sz="4" w:space="0" w:color="auto"/>
              <w:bottom w:val="single" w:sz="4" w:space="0" w:color="auto"/>
            </w:tcBorders>
            <w:vAlign w:val="center"/>
            <w:hideMark/>
          </w:tcPr>
          <w:p w14:paraId="1401034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van der Horst (2024), P3, P5</w:t>
            </w:r>
          </w:p>
        </w:tc>
      </w:tr>
      <w:tr w:rsidR="000101C1" w:rsidRPr="000101C1" w14:paraId="19CF6ECE" w14:textId="77777777" w:rsidTr="000101C1">
        <w:tc>
          <w:tcPr>
            <w:tcW w:w="0" w:type="auto"/>
            <w:tcMar>
              <w:top w:w="15" w:type="dxa"/>
              <w:left w:w="0" w:type="dxa"/>
              <w:bottom w:w="15" w:type="dxa"/>
              <w:right w:w="15" w:type="dxa"/>
            </w:tcMar>
            <w:vAlign w:val="center"/>
            <w:hideMark/>
          </w:tcPr>
          <w:p w14:paraId="12F8356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724EF4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Activity zoning to ensure space independence while maintaining connectivity</w:t>
            </w:r>
          </w:p>
        </w:tc>
        <w:tc>
          <w:tcPr>
            <w:tcW w:w="0" w:type="auto"/>
            <w:tcBorders>
              <w:top w:val="single" w:sz="4" w:space="0" w:color="auto"/>
              <w:bottom w:val="single" w:sz="4" w:space="0" w:color="auto"/>
            </w:tcBorders>
            <w:vAlign w:val="center"/>
            <w:hideMark/>
          </w:tcPr>
          <w:p w14:paraId="3EFD631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Vertua</w:t>
            </w:r>
            <w:proofErr w:type="spellEnd"/>
            <w:r w:rsidRPr="000101C1">
              <w:rPr>
                <w:rFonts w:asciiTheme="majorBidi" w:hAnsiTheme="majorBidi" w:cstheme="majorBidi"/>
                <w:sz w:val="20"/>
                <w:szCs w:val="20"/>
              </w:rPr>
              <w:t xml:space="preserve"> (2021)</w:t>
            </w:r>
          </w:p>
        </w:tc>
      </w:tr>
      <w:tr w:rsidR="000101C1" w:rsidRPr="000101C1" w14:paraId="577CE96C" w14:textId="77777777" w:rsidTr="000101C1">
        <w:tc>
          <w:tcPr>
            <w:tcW w:w="0" w:type="auto"/>
            <w:tcBorders>
              <w:bottom w:val="single" w:sz="4" w:space="0" w:color="auto"/>
            </w:tcBorders>
            <w:tcMar>
              <w:top w:w="15" w:type="dxa"/>
              <w:left w:w="0" w:type="dxa"/>
              <w:bottom w:w="15" w:type="dxa"/>
              <w:right w:w="15" w:type="dxa"/>
            </w:tcMar>
            <w:vAlign w:val="center"/>
            <w:hideMark/>
          </w:tcPr>
          <w:p w14:paraId="45DA9B9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E8EF57F"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Creating spaces with height and plan integration principles</w:t>
            </w:r>
          </w:p>
        </w:tc>
        <w:tc>
          <w:tcPr>
            <w:tcW w:w="0" w:type="auto"/>
            <w:tcBorders>
              <w:top w:val="single" w:sz="4" w:space="0" w:color="auto"/>
              <w:bottom w:val="single" w:sz="4" w:space="0" w:color="auto"/>
            </w:tcBorders>
            <w:vAlign w:val="center"/>
            <w:hideMark/>
          </w:tcPr>
          <w:p w14:paraId="7D6CF19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Bensouda et al. (2024), P1, P5</w:t>
            </w:r>
          </w:p>
        </w:tc>
      </w:tr>
      <w:tr w:rsidR="000101C1" w:rsidRPr="000101C1" w14:paraId="683E63E3" w14:textId="77777777" w:rsidTr="000101C1">
        <w:tc>
          <w:tcPr>
            <w:tcW w:w="0" w:type="auto"/>
            <w:tcBorders>
              <w:top w:val="single" w:sz="4" w:space="0" w:color="auto"/>
            </w:tcBorders>
            <w:tcMar>
              <w:top w:w="15" w:type="dxa"/>
              <w:left w:w="0" w:type="dxa"/>
              <w:bottom w:w="15" w:type="dxa"/>
              <w:right w:w="15" w:type="dxa"/>
            </w:tcMar>
            <w:vAlign w:val="center"/>
            <w:hideMark/>
          </w:tcPr>
          <w:p w14:paraId="6E13BDA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Adaptability to User and Family Needs</w:t>
            </w:r>
          </w:p>
        </w:tc>
        <w:tc>
          <w:tcPr>
            <w:tcW w:w="0" w:type="auto"/>
            <w:tcBorders>
              <w:top w:val="single" w:sz="4" w:space="0" w:color="auto"/>
              <w:bottom w:val="single" w:sz="4" w:space="0" w:color="auto"/>
            </w:tcBorders>
            <w:vAlign w:val="center"/>
            <w:hideMark/>
          </w:tcPr>
          <w:p w14:paraId="065FC5A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Adaptability to individual activity programs and daily use</w:t>
            </w:r>
          </w:p>
        </w:tc>
        <w:tc>
          <w:tcPr>
            <w:tcW w:w="0" w:type="auto"/>
            <w:tcBorders>
              <w:top w:val="single" w:sz="4" w:space="0" w:color="auto"/>
              <w:bottom w:val="single" w:sz="4" w:space="0" w:color="auto"/>
            </w:tcBorders>
            <w:vAlign w:val="center"/>
            <w:hideMark/>
          </w:tcPr>
          <w:p w14:paraId="232F4A34"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Tiantian</w:t>
            </w:r>
            <w:proofErr w:type="spellEnd"/>
            <w:r w:rsidRPr="000101C1">
              <w:rPr>
                <w:rFonts w:asciiTheme="majorBidi" w:hAnsiTheme="majorBidi" w:cstheme="majorBidi"/>
                <w:sz w:val="20"/>
                <w:szCs w:val="20"/>
              </w:rPr>
              <w:t xml:space="preserve"> et al. (2024)</w:t>
            </w:r>
          </w:p>
        </w:tc>
      </w:tr>
      <w:tr w:rsidR="000101C1" w:rsidRPr="000101C1" w14:paraId="164E57C9" w14:textId="77777777" w:rsidTr="000101C1">
        <w:tc>
          <w:tcPr>
            <w:tcW w:w="0" w:type="auto"/>
            <w:tcMar>
              <w:top w:w="15" w:type="dxa"/>
              <w:left w:w="0" w:type="dxa"/>
              <w:bottom w:w="15" w:type="dxa"/>
              <w:right w:w="15" w:type="dxa"/>
            </w:tcMar>
            <w:vAlign w:val="center"/>
            <w:hideMark/>
          </w:tcPr>
          <w:p w14:paraId="3C8AE1B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7030D8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open-plan layouts</w:t>
            </w:r>
          </w:p>
        </w:tc>
        <w:tc>
          <w:tcPr>
            <w:tcW w:w="0" w:type="auto"/>
            <w:tcBorders>
              <w:top w:val="single" w:sz="4" w:space="0" w:color="auto"/>
              <w:bottom w:val="single" w:sz="4" w:space="0" w:color="auto"/>
            </w:tcBorders>
            <w:vAlign w:val="center"/>
            <w:hideMark/>
          </w:tcPr>
          <w:p w14:paraId="0B2B46F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Tiantian</w:t>
            </w:r>
            <w:proofErr w:type="spellEnd"/>
            <w:r w:rsidRPr="000101C1">
              <w:rPr>
                <w:rFonts w:asciiTheme="majorBidi" w:hAnsiTheme="majorBidi" w:cstheme="majorBidi"/>
                <w:sz w:val="20"/>
                <w:szCs w:val="20"/>
              </w:rPr>
              <w:t xml:space="preserve"> et al. (2024), </w:t>
            </w:r>
            <w:proofErr w:type="spellStart"/>
            <w:r w:rsidRPr="000101C1">
              <w:rPr>
                <w:rFonts w:asciiTheme="majorBidi" w:hAnsiTheme="majorBidi" w:cstheme="majorBidi"/>
                <w:sz w:val="20"/>
                <w:szCs w:val="20"/>
              </w:rPr>
              <w:t>Vertua</w:t>
            </w:r>
            <w:proofErr w:type="spellEnd"/>
            <w:r w:rsidRPr="000101C1">
              <w:rPr>
                <w:rFonts w:asciiTheme="majorBidi" w:hAnsiTheme="majorBidi" w:cstheme="majorBidi"/>
                <w:sz w:val="20"/>
                <w:szCs w:val="20"/>
              </w:rPr>
              <w:t xml:space="preserve"> (2021)</w:t>
            </w:r>
          </w:p>
        </w:tc>
      </w:tr>
      <w:tr w:rsidR="000101C1" w:rsidRPr="000101C1" w14:paraId="7A50E009" w14:textId="77777777" w:rsidTr="000101C1">
        <w:tc>
          <w:tcPr>
            <w:tcW w:w="0" w:type="auto"/>
            <w:tcMar>
              <w:top w:w="15" w:type="dxa"/>
              <w:left w:w="0" w:type="dxa"/>
              <w:bottom w:w="15" w:type="dxa"/>
              <w:right w:w="15" w:type="dxa"/>
            </w:tcMar>
            <w:vAlign w:val="center"/>
            <w:hideMark/>
          </w:tcPr>
          <w:p w14:paraId="568A7CA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9DC18B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perimeter lines inside or outside spaces</w:t>
            </w:r>
          </w:p>
        </w:tc>
        <w:tc>
          <w:tcPr>
            <w:tcW w:w="0" w:type="auto"/>
            <w:tcBorders>
              <w:top w:val="single" w:sz="4" w:space="0" w:color="auto"/>
              <w:bottom w:val="single" w:sz="4" w:space="0" w:color="auto"/>
            </w:tcBorders>
            <w:vAlign w:val="center"/>
            <w:hideMark/>
          </w:tcPr>
          <w:p w14:paraId="2BABD681"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Alabi &amp; </w:t>
            </w:r>
            <w:proofErr w:type="spellStart"/>
            <w:r w:rsidRPr="000101C1">
              <w:rPr>
                <w:rFonts w:asciiTheme="majorBidi" w:hAnsiTheme="majorBidi" w:cstheme="majorBidi"/>
                <w:sz w:val="20"/>
                <w:szCs w:val="20"/>
              </w:rPr>
              <w:t>Fapohunda</w:t>
            </w:r>
            <w:proofErr w:type="spellEnd"/>
            <w:r w:rsidRPr="000101C1">
              <w:rPr>
                <w:rFonts w:asciiTheme="majorBidi" w:hAnsiTheme="majorBidi" w:cstheme="majorBidi"/>
                <w:sz w:val="20"/>
                <w:szCs w:val="20"/>
              </w:rPr>
              <w:t xml:space="preserve"> (2021)</w:t>
            </w:r>
          </w:p>
        </w:tc>
      </w:tr>
      <w:tr w:rsidR="000101C1" w:rsidRPr="000101C1" w14:paraId="6A3A362E" w14:textId="77777777" w:rsidTr="000101C1">
        <w:tc>
          <w:tcPr>
            <w:tcW w:w="0" w:type="auto"/>
            <w:tcMar>
              <w:top w:w="15" w:type="dxa"/>
              <w:left w:w="0" w:type="dxa"/>
              <w:bottom w:w="15" w:type="dxa"/>
              <w:right w:w="15" w:type="dxa"/>
            </w:tcMar>
            <w:vAlign w:val="center"/>
            <w:hideMark/>
          </w:tcPr>
          <w:p w14:paraId="0BAFBCE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FEF62C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Ability to create dynamic and diverse interior spaces</w:t>
            </w:r>
          </w:p>
        </w:tc>
        <w:tc>
          <w:tcPr>
            <w:tcW w:w="0" w:type="auto"/>
            <w:tcBorders>
              <w:top w:val="single" w:sz="4" w:space="0" w:color="auto"/>
              <w:bottom w:val="single" w:sz="4" w:space="0" w:color="auto"/>
            </w:tcBorders>
            <w:vAlign w:val="center"/>
            <w:hideMark/>
          </w:tcPr>
          <w:p w14:paraId="4DAC68B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w:t>
            </w:r>
          </w:p>
        </w:tc>
      </w:tr>
      <w:tr w:rsidR="000101C1" w:rsidRPr="000101C1" w14:paraId="1EFC8DF3" w14:textId="77777777" w:rsidTr="000101C1">
        <w:tc>
          <w:tcPr>
            <w:tcW w:w="0" w:type="auto"/>
            <w:tcMar>
              <w:top w:w="15" w:type="dxa"/>
              <w:left w:w="0" w:type="dxa"/>
              <w:bottom w:w="15" w:type="dxa"/>
              <w:right w:w="15" w:type="dxa"/>
            </w:tcMar>
            <w:vAlign w:val="center"/>
            <w:hideMark/>
          </w:tcPr>
          <w:p w14:paraId="563D6CA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D7E631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Free configuration of facades</w:t>
            </w:r>
          </w:p>
        </w:tc>
        <w:tc>
          <w:tcPr>
            <w:tcW w:w="0" w:type="auto"/>
            <w:tcBorders>
              <w:top w:val="single" w:sz="4" w:space="0" w:color="auto"/>
              <w:bottom w:val="single" w:sz="4" w:space="0" w:color="auto"/>
            </w:tcBorders>
            <w:vAlign w:val="center"/>
            <w:hideMark/>
          </w:tcPr>
          <w:p w14:paraId="44AC3F1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w:t>
            </w:r>
          </w:p>
        </w:tc>
      </w:tr>
      <w:tr w:rsidR="000101C1" w:rsidRPr="000101C1" w14:paraId="42328271" w14:textId="77777777" w:rsidTr="000101C1">
        <w:tc>
          <w:tcPr>
            <w:tcW w:w="0" w:type="auto"/>
            <w:tcMar>
              <w:top w:w="15" w:type="dxa"/>
              <w:left w:w="0" w:type="dxa"/>
              <w:bottom w:w="15" w:type="dxa"/>
              <w:right w:w="15" w:type="dxa"/>
            </w:tcMar>
            <w:vAlign w:val="center"/>
            <w:hideMark/>
          </w:tcPr>
          <w:p w14:paraId="59DE792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6DA606D"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decks with larger spans</w:t>
            </w:r>
          </w:p>
        </w:tc>
        <w:tc>
          <w:tcPr>
            <w:tcW w:w="0" w:type="auto"/>
            <w:tcBorders>
              <w:top w:val="single" w:sz="4" w:space="0" w:color="auto"/>
              <w:bottom w:val="single" w:sz="4" w:space="0" w:color="auto"/>
            </w:tcBorders>
            <w:vAlign w:val="center"/>
            <w:hideMark/>
          </w:tcPr>
          <w:p w14:paraId="42B2033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 P1</w:t>
            </w:r>
          </w:p>
        </w:tc>
      </w:tr>
      <w:tr w:rsidR="000101C1" w:rsidRPr="000101C1" w14:paraId="348DE5F1" w14:textId="77777777" w:rsidTr="000101C1">
        <w:tc>
          <w:tcPr>
            <w:tcW w:w="0" w:type="auto"/>
            <w:tcMar>
              <w:top w:w="15" w:type="dxa"/>
              <w:left w:w="0" w:type="dxa"/>
              <w:bottom w:w="15" w:type="dxa"/>
              <w:right w:w="15" w:type="dxa"/>
            </w:tcMar>
            <w:vAlign w:val="center"/>
            <w:hideMark/>
          </w:tcPr>
          <w:p w14:paraId="26C2EFA3"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F6FF7BD"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Optimization of panel dimensions</w:t>
            </w:r>
          </w:p>
        </w:tc>
        <w:tc>
          <w:tcPr>
            <w:tcW w:w="0" w:type="auto"/>
            <w:tcBorders>
              <w:top w:val="single" w:sz="4" w:space="0" w:color="auto"/>
              <w:bottom w:val="single" w:sz="4" w:space="0" w:color="auto"/>
            </w:tcBorders>
            <w:vAlign w:val="center"/>
            <w:hideMark/>
          </w:tcPr>
          <w:p w14:paraId="257FD7FE"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 Yeganeh et al. (2021)</w:t>
            </w:r>
          </w:p>
        </w:tc>
      </w:tr>
      <w:tr w:rsidR="000101C1" w:rsidRPr="000101C1" w14:paraId="51172CDF" w14:textId="77777777" w:rsidTr="000101C1">
        <w:tc>
          <w:tcPr>
            <w:tcW w:w="0" w:type="auto"/>
            <w:tcMar>
              <w:top w:w="15" w:type="dxa"/>
              <w:left w:w="0" w:type="dxa"/>
              <w:bottom w:w="15" w:type="dxa"/>
              <w:right w:w="15" w:type="dxa"/>
            </w:tcMar>
            <w:vAlign w:val="center"/>
            <w:hideMark/>
          </w:tcPr>
          <w:p w14:paraId="42BB3102"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253E72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flexible structural points for new systems and components</w:t>
            </w:r>
          </w:p>
        </w:tc>
        <w:tc>
          <w:tcPr>
            <w:tcW w:w="0" w:type="auto"/>
            <w:tcBorders>
              <w:top w:val="single" w:sz="4" w:space="0" w:color="auto"/>
              <w:bottom w:val="single" w:sz="4" w:space="0" w:color="auto"/>
            </w:tcBorders>
            <w:vAlign w:val="center"/>
            <w:hideMark/>
          </w:tcPr>
          <w:p w14:paraId="07D6A8D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02CC134F" w14:textId="77777777" w:rsidTr="000101C1">
        <w:tc>
          <w:tcPr>
            <w:tcW w:w="0" w:type="auto"/>
            <w:tcMar>
              <w:top w:w="15" w:type="dxa"/>
              <w:left w:w="0" w:type="dxa"/>
              <w:bottom w:w="15" w:type="dxa"/>
              <w:right w:w="15" w:type="dxa"/>
            </w:tcMar>
            <w:vAlign w:val="center"/>
            <w:hideMark/>
          </w:tcPr>
          <w:p w14:paraId="012143C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431D7D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Structural flexibility to meet diverse needs</w:t>
            </w:r>
          </w:p>
        </w:tc>
        <w:tc>
          <w:tcPr>
            <w:tcW w:w="0" w:type="auto"/>
            <w:tcBorders>
              <w:top w:val="single" w:sz="4" w:space="0" w:color="auto"/>
              <w:bottom w:val="single" w:sz="4" w:space="0" w:color="auto"/>
            </w:tcBorders>
            <w:vAlign w:val="center"/>
            <w:hideMark/>
          </w:tcPr>
          <w:p w14:paraId="37318BC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Alabi &amp; </w:t>
            </w:r>
            <w:proofErr w:type="spellStart"/>
            <w:r w:rsidRPr="000101C1">
              <w:rPr>
                <w:rFonts w:asciiTheme="majorBidi" w:hAnsiTheme="majorBidi" w:cstheme="majorBidi"/>
                <w:sz w:val="20"/>
                <w:szCs w:val="20"/>
              </w:rPr>
              <w:t>Fapohunda</w:t>
            </w:r>
            <w:proofErr w:type="spellEnd"/>
            <w:r w:rsidRPr="000101C1">
              <w:rPr>
                <w:rFonts w:asciiTheme="majorBidi" w:hAnsiTheme="majorBidi" w:cstheme="majorBidi"/>
                <w:sz w:val="20"/>
                <w:szCs w:val="20"/>
              </w:rPr>
              <w:t xml:space="preserve"> (2021)</w:t>
            </w:r>
          </w:p>
        </w:tc>
      </w:tr>
      <w:tr w:rsidR="000101C1" w:rsidRPr="000101C1" w14:paraId="7B452469" w14:textId="77777777" w:rsidTr="000101C1">
        <w:tc>
          <w:tcPr>
            <w:tcW w:w="0" w:type="auto"/>
            <w:tcBorders>
              <w:bottom w:val="single" w:sz="4" w:space="0" w:color="auto"/>
            </w:tcBorders>
            <w:tcMar>
              <w:top w:w="15" w:type="dxa"/>
              <w:left w:w="0" w:type="dxa"/>
              <w:bottom w:w="15" w:type="dxa"/>
              <w:right w:w="15" w:type="dxa"/>
            </w:tcMar>
            <w:vAlign w:val="center"/>
            <w:hideMark/>
          </w:tcPr>
          <w:p w14:paraId="6A0D722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0E0FB5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Adaptability to future needs</w:t>
            </w:r>
          </w:p>
        </w:tc>
        <w:tc>
          <w:tcPr>
            <w:tcW w:w="0" w:type="auto"/>
            <w:tcBorders>
              <w:top w:val="single" w:sz="4" w:space="0" w:color="auto"/>
              <w:bottom w:val="single" w:sz="4" w:space="0" w:color="auto"/>
            </w:tcBorders>
            <w:vAlign w:val="center"/>
            <w:hideMark/>
          </w:tcPr>
          <w:p w14:paraId="721719C9"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0F2BC745" w14:textId="77777777" w:rsidTr="000101C1">
        <w:tc>
          <w:tcPr>
            <w:tcW w:w="0" w:type="auto"/>
            <w:tcBorders>
              <w:top w:val="single" w:sz="4" w:space="0" w:color="auto"/>
            </w:tcBorders>
            <w:tcMar>
              <w:top w:w="15" w:type="dxa"/>
              <w:left w:w="0" w:type="dxa"/>
              <w:bottom w:w="15" w:type="dxa"/>
              <w:right w:w="15" w:type="dxa"/>
            </w:tcMar>
            <w:vAlign w:val="center"/>
            <w:hideMark/>
          </w:tcPr>
          <w:p w14:paraId="2692BBA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Optimization of Energy Consumption and Environmental Impact</w:t>
            </w:r>
          </w:p>
        </w:tc>
        <w:tc>
          <w:tcPr>
            <w:tcW w:w="0" w:type="auto"/>
            <w:tcBorders>
              <w:top w:val="single" w:sz="4" w:space="0" w:color="auto"/>
              <w:bottom w:val="single" w:sz="4" w:space="0" w:color="auto"/>
            </w:tcBorders>
            <w:vAlign w:val="center"/>
            <w:hideMark/>
          </w:tcPr>
          <w:p w14:paraId="66365BC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Ease of modification for any family type</w:t>
            </w:r>
          </w:p>
        </w:tc>
        <w:tc>
          <w:tcPr>
            <w:tcW w:w="0" w:type="auto"/>
            <w:tcBorders>
              <w:top w:val="single" w:sz="4" w:space="0" w:color="auto"/>
              <w:bottom w:val="single" w:sz="4" w:space="0" w:color="auto"/>
            </w:tcBorders>
            <w:vAlign w:val="center"/>
            <w:hideMark/>
          </w:tcPr>
          <w:p w14:paraId="4E6B8DC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Yeganeh et al. (2021)</w:t>
            </w:r>
          </w:p>
        </w:tc>
      </w:tr>
      <w:tr w:rsidR="000101C1" w:rsidRPr="000101C1" w14:paraId="4DF50D16" w14:textId="77777777" w:rsidTr="000101C1">
        <w:tc>
          <w:tcPr>
            <w:tcW w:w="0" w:type="auto"/>
            <w:tcMar>
              <w:top w:w="15" w:type="dxa"/>
              <w:left w:w="0" w:type="dxa"/>
              <w:bottom w:w="15" w:type="dxa"/>
              <w:right w:w="15" w:type="dxa"/>
            </w:tcMar>
            <w:vAlign w:val="center"/>
            <w:hideMark/>
          </w:tcPr>
          <w:p w14:paraId="1D8854B8"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226E89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Ability to create diversity in height and space</w:t>
            </w:r>
          </w:p>
        </w:tc>
        <w:tc>
          <w:tcPr>
            <w:tcW w:w="0" w:type="auto"/>
            <w:tcBorders>
              <w:top w:val="single" w:sz="4" w:space="0" w:color="auto"/>
              <w:bottom w:val="single" w:sz="4" w:space="0" w:color="auto"/>
            </w:tcBorders>
            <w:vAlign w:val="center"/>
            <w:hideMark/>
          </w:tcPr>
          <w:p w14:paraId="79B5C936"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2AA4F8DC" w14:textId="77777777" w:rsidTr="000101C1">
        <w:tc>
          <w:tcPr>
            <w:tcW w:w="0" w:type="auto"/>
            <w:tcMar>
              <w:top w:w="15" w:type="dxa"/>
              <w:left w:w="0" w:type="dxa"/>
              <w:bottom w:w="15" w:type="dxa"/>
              <w:right w:w="15" w:type="dxa"/>
            </w:tcMar>
            <w:vAlign w:val="center"/>
            <w:hideMark/>
          </w:tcPr>
          <w:p w14:paraId="4D03D132"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67D3A9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Increased user participation in design and construction processes</w:t>
            </w:r>
          </w:p>
        </w:tc>
        <w:tc>
          <w:tcPr>
            <w:tcW w:w="0" w:type="auto"/>
            <w:tcBorders>
              <w:top w:val="single" w:sz="4" w:space="0" w:color="auto"/>
              <w:bottom w:val="single" w:sz="4" w:space="0" w:color="auto"/>
            </w:tcBorders>
            <w:vAlign w:val="center"/>
            <w:hideMark/>
          </w:tcPr>
          <w:p w14:paraId="2D3D7B0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Jegede &amp; Taki (2022)</w:t>
            </w:r>
          </w:p>
        </w:tc>
      </w:tr>
      <w:tr w:rsidR="000101C1" w:rsidRPr="000101C1" w14:paraId="07603FE1" w14:textId="77777777" w:rsidTr="000101C1">
        <w:tc>
          <w:tcPr>
            <w:tcW w:w="0" w:type="auto"/>
            <w:tcMar>
              <w:top w:w="15" w:type="dxa"/>
              <w:left w:w="0" w:type="dxa"/>
              <w:bottom w:w="15" w:type="dxa"/>
              <w:right w:w="15" w:type="dxa"/>
            </w:tcMar>
            <w:vAlign w:val="center"/>
            <w:hideMark/>
          </w:tcPr>
          <w:p w14:paraId="15EBD070"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2A81B3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user intervention points and allowing freedom in them</w:t>
            </w:r>
          </w:p>
        </w:tc>
        <w:tc>
          <w:tcPr>
            <w:tcW w:w="0" w:type="auto"/>
            <w:tcBorders>
              <w:top w:val="single" w:sz="4" w:space="0" w:color="auto"/>
              <w:bottom w:val="single" w:sz="4" w:space="0" w:color="auto"/>
            </w:tcBorders>
            <w:vAlign w:val="center"/>
            <w:hideMark/>
          </w:tcPr>
          <w:p w14:paraId="56293EE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(2023), P1, P3</w:t>
            </w:r>
          </w:p>
        </w:tc>
      </w:tr>
      <w:tr w:rsidR="000101C1" w:rsidRPr="000101C1" w14:paraId="753B3764" w14:textId="77777777" w:rsidTr="000101C1">
        <w:tc>
          <w:tcPr>
            <w:tcW w:w="0" w:type="auto"/>
            <w:tcMar>
              <w:top w:w="15" w:type="dxa"/>
              <w:left w:w="0" w:type="dxa"/>
              <w:bottom w:w="15" w:type="dxa"/>
              <w:right w:w="15" w:type="dxa"/>
            </w:tcMar>
            <w:vAlign w:val="center"/>
            <w:hideMark/>
          </w:tcPr>
          <w:p w14:paraId="127F412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6F43C2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Anticipating potential spaces for customer participation</w:t>
            </w:r>
          </w:p>
        </w:tc>
        <w:tc>
          <w:tcPr>
            <w:tcW w:w="0" w:type="auto"/>
            <w:tcBorders>
              <w:top w:val="single" w:sz="4" w:space="0" w:color="auto"/>
              <w:bottom w:val="single" w:sz="4" w:space="0" w:color="auto"/>
            </w:tcBorders>
            <w:vAlign w:val="center"/>
            <w:hideMark/>
          </w:tcPr>
          <w:p w14:paraId="52B49815"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(2023)</w:t>
            </w:r>
          </w:p>
        </w:tc>
      </w:tr>
      <w:tr w:rsidR="000101C1" w:rsidRPr="000101C1" w14:paraId="7BA6520E" w14:textId="77777777" w:rsidTr="000101C1">
        <w:tc>
          <w:tcPr>
            <w:tcW w:w="0" w:type="auto"/>
            <w:tcMar>
              <w:top w:w="15" w:type="dxa"/>
              <w:left w:w="0" w:type="dxa"/>
              <w:bottom w:w="15" w:type="dxa"/>
              <w:right w:w="15" w:type="dxa"/>
            </w:tcMar>
            <w:vAlign w:val="center"/>
            <w:hideMark/>
          </w:tcPr>
          <w:p w14:paraId="7BC8E86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588484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Improving quality and living standards for residents</w:t>
            </w:r>
          </w:p>
        </w:tc>
        <w:tc>
          <w:tcPr>
            <w:tcW w:w="0" w:type="auto"/>
            <w:tcBorders>
              <w:top w:val="single" w:sz="4" w:space="0" w:color="auto"/>
              <w:bottom w:val="single" w:sz="4" w:space="0" w:color="auto"/>
            </w:tcBorders>
            <w:vAlign w:val="center"/>
            <w:hideMark/>
          </w:tcPr>
          <w:p w14:paraId="3849A0B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w:t>
            </w:r>
          </w:p>
        </w:tc>
      </w:tr>
      <w:tr w:rsidR="000101C1" w:rsidRPr="000101C1" w14:paraId="09326E0D" w14:textId="77777777" w:rsidTr="000101C1">
        <w:tc>
          <w:tcPr>
            <w:tcW w:w="0" w:type="auto"/>
            <w:tcBorders>
              <w:bottom w:val="single" w:sz="4" w:space="0" w:color="auto"/>
            </w:tcBorders>
            <w:tcMar>
              <w:top w:w="15" w:type="dxa"/>
              <w:left w:w="0" w:type="dxa"/>
              <w:bottom w:w="15" w:type="dxa"/>
              <w:right w:w="15" w:type="dxa"/>
            </w:tcMar>
            <w:vAlign w:val="center"/>
            <w:hideMark/>
          </w:tcPr>
          <w:p w14:paraId="36A6E64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BDD5A7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comfort factors for residents</w:t>
            </w:r>
          </w:p>
        </w:tc>
        <w:tc>
          <w:tcPr>
            <w:tcW w:w="0" w:type="auto"/>
            <w:tcBorders>
              <w:top w:val="single" w:sz="4" w:space="0" w:color="auto"/>
              <w:bottom w:val="single" w:sz="4" w:space="0" w:color="auto"/>
            </w:tcBorders>
            <w:vAlign w:val="center"/>
            <w:hideMark/>
          </w:tcPr>
          <w:p w14:paraId="35E40F7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Ge et al. (2020)</w:t>
            </w:r>
          </w:p>
        </w:tc>
      </w:tr>
      <w:tr w:rsidR="000101C1" w:rsidRPr="000101C1" w14:paraId="0A4F4D6E" w14:textId="77777777" w:rsidTr="000101C1">
        <w:tc>
          <w:tcPr>
            <w:tcW w:w="0" w:type="auto"/>
            <w:tcBorders>
              <w:top w:val="single" w:sz="4" w:space="0" w:color="auto"/>
            </w:tcBorders>
            <w:tcMar>
              <w:top w:w="15" w:type="dxa"/>
              <w:left w:w="0" w:type="dxa"/>
              <w:bottom w:w="15" w:type="dxa"/>
              <w:right w:w="15" w:type="dxa"/>
            </w:tcMar>
            <w:vAlign w:val="center"/>
            <w:hideMark/>
          </w:tcPr>
          <w:p w14:paraId="6EB49B1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Use of Sustainable and Recyclable Materials</w:t>
            </w:r>
          </w:p>
        </w:tc>
        <w:tc>
          <w:tcPr>
            <w:tcW w:w="0" w:type="auto"/>
            <w:tcBorders>
              <w:top w:val="single" w:sz="4" w:space="0" w:color="auto"/>
              <w:bottom w:val="single" w:sz="4" w:space="0" w:color="auto"/>
            </w:tcBorders>
            <w:vAlign w:val="center"/>
            <w:hideMark/>
          </w:tcPr>
          <w:p w14:paraId="21AE042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Anticipating space performance over the lifecycle and enabling internal changes for new functions</w:t>
            </w:r>
          </w:p>
        </w:tc>
        <w:tc>
          <w:tcPr>
            <w:tcW w:w="0" w:type="auto"/>
            <w:tcBorders>
              <w:top w:val="single" w:sz="4" w:space="0" w:color="auto"/>
              <w:bottom w:val="single" w:sz="4" w:space="0" w:color="auto"/>
            </w:tcBorders>
            <w:vAlign w:val="center"/>
            <w:hideMark/>
          </w:tcPr>
          <w:p w14:paraId="2BE1A3A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Alabi &amp; </w:t>
            </w:r>
            <w:proofErr w:type="spellStart"/>
            <w:r w:rsidRPr="000101C1">
              <w:rPr>
                <w:rFonts w:asciiTheme="majorBidi" w:hAnsiTheme="majorBidi" w:cstheme="majorBidi"/>
                <w:sz w:val="20"/>
                <w:szCs w:val="20"/>
              </w:rPr>
              <w:t>Fapohunda</w:t>
            </w:r>
            <w:proofErr w:type="spellEnd"/>
            <w:r w:rsidRPr="000101C1">
              <w:rPr>
                <w:rFonts w:asciiTheme="majorBidi" w:hAnsiTheme="majorBidi" w:cstheme="majorBidi"/>
                <w:sz w:val="20"/>
                <w:szCs w:val="20"/>
              </w:rPr>
              <w:t xml:space="preserve"> (2021)</w:t>
            </w:r>
          </w:p>
        </w:tc>
      </w:tr>
      <w:tr w:rsidR="000101C1" w:rsidRPr="000101C1" w14:paraId="51EFDBA6" w14:textId="77777777" w:rsidTr="000101C1">
        <w:tc>
          <w:tcPr>
            <w:tcW w:w="0" w:type="auto"/>
            <w:tcMar>
              <w:top w:w="15" w:type="dxa"/>
              <w:left w:w="0" w:type="dxa"/>
              <w:bottom w:w="15" w:type="dxa"/>
              <w:right w:w="15" w:type="dxa"/>
            </w:tcMar>
            <w:vAlign w:val="center"/>
            <w:hideMark/>
          </w:tcPr>
          <w:p w14:paraId="1F5A24B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03E68D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Compatibility with various materials</w:t>
            </w:r>
          </w:p>
        </w:tc>
        <w:tc>
          <w:tcPr>
            <w:tcW w:w="0" w:type="auto"/>
            <w:tcBorders>
              <w:top w:val="single" w:sz="4" w:space="0" w:color="auto"/>
              <w:bottom w:val="single" w:sz="4" w:space="0" w:color="auto"/>
            </w:tcBorders>
            <w:vAlign w:val="center"/>
            <w:hideMark/>
          </w:tcPr>
          <w:p w14:paraId="55484E4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González (2022)</w:t>
            </w:r>
          </w:p>
        </w:tc>
      </w:tr>
      <w:tr w:rsidR="000101C1" w:rsidRPr="000101C1" w14:paraId="3DC04870" w14:textId="77777777" w:rsidTr="000101C1">
        <w:tc>
          <w:tcPr>
            <w:tcW w:w="0" w:type="auto"/>
            <w:tcMar>
              <w:top w:w="15" w:type="dxa"/>
              <w:left w:w="0" w:type="dxa"/>
              <w:bottom w:w="15" w:type="dxa"/>
              <w:right w:w="15" w:type="dxa"/>
            </w:tcMar>
            <w:vAlign w:val="center"/>
            <w:hideMark/>
          </w:tcPr>
          <w:p w14:paraId="79CA51A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1AC935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Main structure meeting structural requirements</w:t>
            </w:r>
          </w:p>
        </w:tc>
        <w:tc>
          <w:tcPr>
            <w:tcW w:w="0" w:type="auto"/>
            <w:tcBorders>
              <w:top w:val="single" w:sz="4" w:space="0" w:color="auto"/>
              <w:bottom w:val="single" w:sz="4" w:space="0" w:color="auto"/>
            </w:tcBorders>
            <w:vAlign w:val="center"/>
            <w:hideMark/>
          </w:tcPr>
          <w:p w14:paraId="349E7376"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Vale et al. (2014)</w:t>
            </w:r>
          </w:p>
        </w:tc>
      </w:tr>
      <w:tr w:rsidR="000101C1" w:rsidRPr="000101C1" w14:paraId="309599AD" w14:textId="77777777" w:rsidTr="000101C1">
        <w:tc>
          <w:tcPr>
            <w:tcW w:w="0" w:type="auto"/>
            <w:tcBorders>
              <w:bottom w:val="single" w:sz="4" w:space="0" w:color="auto"/>
            </w:tcBorders>
            <w:tcMar>
              <w:top w:w="15" w:type="dxa"/>
              <w:left w:w="0" w:type="dxa"/>
              <w:bottom w:w="15" w:type="dxa"/>
              <w:right w:w="15" w:type="dxa"/>
            </w:tcMar>
            <w:vAlign w:val="center"/>
            <w:hideMark/>
          </w:tcPr>
          <w:p w14:paraId="14A7D0F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508A39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Infill structure supporting flexibility</w:t>
            </w:r>
          </w:p>
        </w:tc>
        <w:tc>
          <w:tcPr>
            <w:tcW w:w="0" w:type="auto"/>
            <w:tcBorders>
              <w:top w:val="single" w:sz="4" w:space="0" w:color="auto"/>
              <w:bottom w:val="single" w:sz="4" w:space="0" w:color="auto"/>
            </w:tcBorders>
            <w:vAlign w:val="center"/>
            <w:hideMark/>
          </w:tcPr>
          <w:p w14:paraId="3778CE7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(2021)</w:t>
            </w:r>
          </w:p>
        </w:tc>
      </w:tr>
      <w:tr w:rsidR="000101C1" w:rsidRPr="000101C1" w14:paraId="6CF78AF0" w14:textId="77777777" w:rsidTr="000101C1">
        <w:tc>
          <w:tcPr>
            <w:tcW w:w="0" w:type="auto"/>
            <w:tcBorders>
              <w:top w:val="single" w:sz="4" w:space="0" w:color="auto"/>
            </w:tcBorders>
            <w:tcMar>
              <w:top w:w="15" w:type="dxa"/>
              <w:left w:w="0" w:type="dxa"/>
              <w:bottom w:w="15" w:type="dxa"/>
              <w:right w:w="15" w:type="dxa"/>
            </w:tcMar>
            <w:vAlign w:val="center"/>
            <w:hideMark/>
          </w:tcPr>
          <w:p w14:paraId="763551A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Cost Savings in Construction and Maintenance</w:t>
            </w:r>
          </w:p>
        </w:tc>
        <w:tc>
          <w:tcPr>
            <w:tcW w:w="0" w:type="auto"/>
            <w:tcBorders>
              <w:top w:val="single" w:sz="4" w:space="0" w:color="auto"/>
              <w:bottom w:val="single" w:sz="4" w:space="0" w:color="auto"/>
            </w:tcBorders>
            <w:vAlign w:val="center"/>
            <w:hideMark/>
          </w:tcPr>
          <w:p w14:paraId="768A11F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Infill structure supporting flexibility</w:t>
            </w:r>
          </w:p>
        </w:tc>
        <w:tc>
          <w:tcPr>
            <w:tcW w:w="0" w:type="auto"/>
            <w:tcBorders>
              <w:top w:val="single" w:sz="4" w:space="0" w:color="auto"/>
              <w:bottom w:val="single" w:sz="4" w:space="0" w:color="auto"/>
            </w:tcBorders>
            <w:vAlign w:val="center"/>
            <w:hideMark/>
          </w:tcPr>
          <w:p w14:paraId="29DF0CB7"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Mallach</w:t>
            </w:r>
            <w:proofErr w:type="spellEnd"/>
            <w:r w:rsidRPr="000101C1">
              <w:rPr>
                <w:rFonts w:asciiTheme="majorBidi" w:hAnsiTheme="majorBidi" w:cstheme="majorBidi"/>
                <w:sz w:val="20"/>
                <w:szCs w:val="20"/>
              </w:rPr>
              <w:t xml:space="preserve"> (2020)</w:t>
            </w:r>
          </w:p>
        </w:tc>
      </w:tr>
      <w:tr w:rsidR="000101C1" w:rsidRPr="000101C1" w14:paraId="24980A2C" w14:textId="77777777" w:rsidTr="000101C1">
        <w:tc>
          <w:tcPr>
            <w:tcW w:w="0" w:type="auto"/>
            <w:tcMar>
              <w:top w:w="15" w:type="dxa"/>
              <w:left w:w="0" w:type="dxa"/>
              <w:bottom w:w="15" w:type="dxa"/>
              <w:right w:w="15" w:type="dxa"/>
            </w:tcMar>
            <w:vAlign w:val="center"/>
            <w:hideMark/>
          </w:tcPr>
          <w:p w14:paraId="6F9A1DC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6767B8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functions</w:t>
            </w:r>
          </w:p>
        </w:tc>
        <w:tc>
          <w:tcPr>
            <w:tcW w:w="0" w:type="auto"/>
            <w:tcBorders>
              <w:top w:val="single" w:sz="4" w:space="0" w:color="auto"/>
              <w:bottom w:val="single" w:sz="4" w:space="0" w:color="auto"/>
            </w:tcBorders>
            <w:vAlign w:val="center"/>
            <w:hideMark/>
          </w:tcPr>
          <w:p w14:paraId="0A6D77C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(2021), P1, P3</w:t>
            </w:r>
          </w:p>
        </w:tc>
      </w:tr>
      <w:tr w:rsidR="000101C1" w:rsidRPr="000101C1" w14:paraId="5096BC49" w14:textId="77777777" w:rsidTr="000101C1">
        <w:tc>
          <w:tcPr>
            <w:tcW w:w="0" w:type="auto"/>
            <w:tcMar>
              <w:top w:w="15" w:type="dxa"/>
              <w:left w:w="0" w:type="dxa"/>
              <w:bottom w:w="15" w:type="dxa"/>
              <w:right w:w="15" w:type="dxa"/>
            </w:tcMar>
            <w:vAlign w:val="center"/>
            <w:hideMark/>
          </w:tcPr>
          <w:p w14:paraId="77CAF26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FC2510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1CAA694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Mallach</w:t>
            </w:r>
            <w:proofErr w:type="spellEnd"/>
            <w:r w:rsidRPr="000101C1">
              <w:rPr>
                <w:rFonts w:asciiTheme="majorBidi" w:hAnsiTheme="majorBidi" w:cstheme="majorBidi"/>
                <w:sz w:val="20"/>
                <w:szCs w:val="20"/>
              </w:rPr>
              <w:t xml:space="preserve"> (2020)</w:t>
            </w:r>
          </w:p>
        </w:tc>
      </w:tr>
      <w:tr w:rsidR="000101C1" w:rsidRPr="000101C1" w14:paraId="47E7A703" w14:textId="77777777" w:rsidTr="000101C1">
        <w:tc>
          <w:tcPr>
            <w:tcW w:w="0" w:type="auto"/>
            <w:tcMar>
              <w:top w:w="15" w:type="dxa"/>
              <w:left w:w="0" w:type="dxa"/>
              <w:bottom w:w="15" w:type="dxa"/>
              <w:right w:w="15" w:type="dxa"/>
            </w:tcMar>
            <w:vAlign w:val="center"/>
            <w:hideMark/>
          </w:tcPr>
          <w:p w14:paraId="41C22C63"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12DB31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User-centric and people-oriented approach</w:t>
            </w:r>
          </w:p>
        </w:tc>
        <w:tc>
          <w:tcPr>
            <w:tcW w:w="0" w:type="auto"/>
            <w:tcBorders>
              <w:top w:val="single" w:sz="4" w:space="0" w:color="auto"/>
              <w:bottom w:val="single" w:sz="4" w:space="0" w:color="auto"/>
            </w:tcBorders>
            <w:vAlign w:val="center"/>
            <w:hideMark/>
          </w:tcPr>
          <w:p w14:paraId="613BA2F6"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Mallach</w:t>
            </w:r>
            <w:proofErr w:type="spellEnd"/>
            <w:r w:rsidRPr="000101C1">
              <w:rPr>
                <w:rFonts w:asciiTheme="majorBidi" w:hAnsiTheme="majorBidi" w:cstheme="majorBidi"/>
                <w:sz w:val="20"/>
                <w:szCs w:val="20"/>
              </w:rPr>
              <w:t xml:space="preserve"> (2020)</w:t>
            </w:r>
          </w:p>
        </w:tc>
      </w:tr>
      <w:tr w:rsidR="000101C1" w:rsidRPr="000101C1" w14:paraId="41C2FE6C" w14:textId="77777777" w:rsidTr="000101C1">
        <w:tc>
          <w:tcPr>
            <w:tcW w:w="0" w:type="auto"/>
            <w:tcMar>
              <w:top w:w="15" w:type="dxa"/>
              <w:left w:w="0" w:type="dxa"/>
              <w:bottom w:w="15" w:type="dxa"/>
              <w:right w:w="15" w:type="dxa"/>
            </w:tcMar>
            <w:vAlign w:val="center"/>
            <w:hideMark/>
          </w:tcPr>
          <w:p w14:paraId="1CFEEA4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A6F0EAB"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Addressing the needs of individuals with disabilities (e.g., blind, deaf)</w:t>
            </w:r>
          </w:p>
        </w:tc>
        <w:tc>
          <w:tcPr>
            <w:tcW w:w="0" w:type="auto"/>
            <w:tcBorders>
              <w:top w:val="single" w:sz="4" w:space="0" w:color="auto"/>
              <w:bottom w:val="single" w:sz="4" w:space="0" w:color="auto"/>
            </w:tcBorders>
            <w:vAlign w:val="center"/>
            <w:hideMark/>
          </w:tcPr>
          <w:p w14:paraId="1192A4A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Buchanan et al. (2020)</w:t>
            </w:r>
          </w:p>
        </w:tc>
      </w:tr>
      <w:tr w:rsidR="000101C1" w:rsidRPr="000101C1" w14:paraId="27DBBD2A" w14:textId="77777777" w:rsidTr="000101C1">
        <w:tc>
          <w:tcPr>
            <w:tcW w:w="0" w:type="auto"/>
            <w:tcBorders>
              <w:bottom w:val="single" w:sz="4" w:space="0" w:color="auto"/>
            </w:tcBorders>
            <w:tcMar>
              <w:top w:w="15" w:type="dxa"/>
              <w:left w:w="0" w:type="dxa"/>
              <w:bottom w:w="15" w:type="dxa"/>
              <w:right w:w="15" w:type="dxa"/>
            </w:tcMar>
            <w:vAlign w:val="center"/>
            <w:hideMark/>
          </w:tcPr>
          <w:p w14:paraId="70A73CB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AD11D4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comfort factors for residents</w:t>
            </w:r>
          </w:p>
        </w:tc>
        <w:tc>
          <w:tcPr>
            <w:tcW w:w="0" w:type="auto"/>
            <w:tcBorders>
              <w:top w:val="single" w:sz="4" w:space="0" w:color="auto"/>
              <w:bottom w:val="single" w:sz="4" w:space="0" w:color="auto"/>
            </w:tcBorders>
            <w:vAlign w:val="center"/>
            <w:hideMark/>
          </w:tcPr>
          <w:p w14:paraId="235C52A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(2021)</w:t>
            </w:r>
          </w:p>
        </w:tc>
      </w:tr>
      <w:tr w:rsidR="000101C1" w:rsidRPr="000101C1" w14:paraId="3FF64BB6" w14:textId="77777777" w:rsidTr="000101C1">
        <w:tc>
          <w:tcPr>
            <w:tcW w:w="0" w:type="auto"/>
            <w:tcBorders>
              <w:top w:val="single" w:sz="4" w:space="0" w:color="auto"/>
            </w:tcBorders>
            <w:tcMar>
              <w:top w:w="15" w:type="dxa"/>
              <w:left w:w="0" w:type="dxa"/>
              <w:bottom w:w="15" w:type="dxa"/>
              <w:right w:w="15" w:type="dxa"/>
            </w:tcMar>
            <w:vAlign w:val="center"/>
            <w:hideMark/>
          </w:tcPr>
          <w:p w14:paraId="33F4CEB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High-Quality Residential Spaces and Resident Comfort</w:t>
            </w:r>
          </w:p>
        </w:tc>
        <w:tc>
          <w:tcPr>
            <w:tcW w:w="0" w:type="auto"/>
            <w:tcBorders>
              <w:top w:val="single" w:sz="4" w:space="0" w:color="auto"/>
              <w:bottom w:val="single" w:sz="4" w:space="0" w:color="auto"/>
            </w:tcBorders>
            <w:vAlign w:val="center"/>
            <w:hideMark/>
          </w:tcPr>
          <w:p w14:paraId="51AA65B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decks with larger spans</w:t>
            </w:r>
          </w:p>
        </w:tc>
        <w:tc>
          <w:tcPr>
            <w:tcW w:w="0" w:type="auto"/>
            <w:tcBorders>
              <w:top w:val="single" w:sz="4" w:space="0" w:color="auto"/>
              <w:bottom w:val="single" w:sz="4" w:space="0" w:color="auto"/>
            </w:tcBorders>
            <w:vAlign w:val="center"/>
            <w:hideMark/>
          </w:tcPr>
          <w:p w14:paraId="110D22A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0E9C33EB" w14:textId="77777777" w:rsidTr="000101C1">
        <w:tc>
          <w:tcPr>
            <w:tcW w:w="0" w:type="auto"/>
            <w:tcMar>
              <w:top w:w="15" w:type="dxa"/>
              <w:left w:w="0" w:type="dxa"/>
              <w:bottom w:w="15" w:type="dxa"/>
              <w:right w:w="15" w:type="dxa"/>
            </w:tcMar>
            <w:vAlign w:val="center"/>
            <w:hideMark/>
          </w:tcPr>
          <w:p w14:paraId="66C35B0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F89356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Adaptability to future needs</w:t>
            </w:r>
          </w:p>
        </w:tc>
        <w:tc>
          <w:tcPr>
            <w:tcW w:w="0" w:type="auto"/>
            <w:tcBorders>
              <w:top w:val="single" w:sz="4" w:space="0" w:color="auto"/>
              <w:bottom w:val="single" w:sz="4" w:space="0" w:color="auto"/>
            </w:tcBorders>
            <w:vAlign w:val="center"/>
            <w:hideMark/>
          </w:tcPr>
          <w:p w14:paraId="7DD279E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MacAskill et al. (2021)</w:t>
            </w:r>
          </w:p>
        </w:tc>
      </w:tr>
      <w:tr w:rsidR="000101C1" w:rsidRPr="000101C1" w14:paraId="14829A27" w14:textId="77777777" w:rsidTr="000101C1">
        <w:tc>
          <w:tcPr>
            <w:tcW w:w="0" w:type="auto"/>
            <w:tcMar>
              <w:top w:w="15" w:type="dxa"/>
              <w:left w:w="0" w:type="dxa"/>
              <w:bottom w:w="15" w:type="dxa"/>
              <w:right w:w="15" w:type="dxa"/>
            </w:tcMar>
            <w:vAlign w:val="center"/>
            <w:hideMark/>
          </w:tcPr>
          <w:p w14:paraId="1980887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3007C7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Ability to combine interior spaces for specific uses</w:t>
            </w:r>
          </w:p>
        </w:tc>
        <w:tc>
          <w:tcPr>
            <w:tcW w:w="0" w:type="auto"/>
            <w:tcBorders>
              <w:top w:val="single" w:sz="4" w:space="0" w:color="auto"/>
              <w:bottom w:val="single" w:sz="4" w:space="0" w:color="auto"/>
            </w:tcBorders>
            <w:vAlign w:val="center"/>
            <w:hideMark/>
          </w:tcPr>
          <w:p w14:paraId="74B3103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Jegede &amp; Taki (2022)</w:t>
            </w:r>
          </w:p>
        </w:tc>
      </w:tr>
      <w:tr w:rsidR="000101C1" w:rsidRPr="000101C1" w14:paraId="588C614C" w14:textId="77777777" w:rsidTr="000101C1">
        <w:tc>
          <w:tcPr>
            <w:tcW w:w="0" w:type="auto"/>
            <w:tcMar>
              <w:top w:w="15" w:type="dxa"/>
              <w:left w:w="0" w:type="dxa"/>
              <w:bottom w:w="15" w:type="dxa"/>
              <w:right w:w="15" w:type="dxa"/>
            </w:tcMar>
            <w:vAlign w:val="center"/>
            <w:hideMark/>
          </w:tcPr>
          <w:p w14:paraId="7160813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E4AEE6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Integration of modular and digital construction for changing environments</w:t>
            </w:r>
          </w:p>
        </w:tc>
        <w:tc>
          <w:tcPr>
            <w:tcW w:w="0" w:type="auto"/>
            <w:tcBorders>
              <w:top w:val="single" w:sz="4" w:space="0" w:color="auto"/>
              <w:bottom w:val="single" w:sz="4" w:space="0" w:color="auto"/>
            </w:tcBorders>
            <w:vAlign w:val="center"/>
            <w:hideMark/>
          </w:tcPr>
          <w:p w14:paraId="3BA8DF54"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Mallach</w:t>
            </w:r>
            <w:proofErr w:type="spellEnd"/>
            <w:r w:rsidRPr="000101C1">
              <w:rPr>
                <w:rFonts w:asciiTheme="majorBidi" w:hAnsiTheme="majorBidi" w:cstheme="majorBidi"/>
                <w:sz w:val="20"/>
                <w:szCs w:val="20"/>
              </w:rPr>
              <w:t xml:space="preserve"> (2020)</w:t>
            </w:r>
          </w:p>
        </w:tc>
      </w:tr>
      <w:tr w:rsidR="000101C1" w:rsidRPr="000101C1" w14:paraId="50DD5910" w14:textId="77777777" w:rsidTr="000101C1">
        <w:tc>
          <w:tcPr>
            <w:tcW w:w="0" w:type="auto"/>
            <w:tcMar>
              <w:top w:w="15" w:type="dxa"/>
              <w:left w:w="0" w:type="dxa"/>
              <w:bottom w:w="15" w:type="dxa"/>
              <w:right w:w="15" w:type="dxa"/>
            </w:tcMar>
            <w:vAlign w:val="center"/>
            <w:hideMark/>
          </w:tcPr>
          <w:p w14:paraId="1C7D7AE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4E09EAD"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flexible equipment</w:t>
            </w:r>
          </w:p>
        </w:tc>
        <w:tc>
          <w:tcPr>
            <w:tcW w:w="0" w:type="auto"/>
            <w:tcBorders>
              <w:top w:val="single" w:sz="4" w:space="0" w:color="auto"/>
              <w:bottom w:val="single" w:sz="4" w:space="0" w:color="auto"/>
            </w:tcBorders>
            <w:vAlign w:val="center"/>
            <w:hideMark/>
          </w:tcPr>
          <w:p w14:paraId="08341384"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Moghayedi</w:t>
            </w:r>
            <w:proofErr w:type="spellEnd"/>
            <w:r w:rsidRPr="000101C1">
              <w:rPr>
                <w:rFonts w:asciiTheme="majorBidi" w:hAnsiTheme="majorBidi" w:cstheme="majorBidi"/>
                <w:sz w:val="20"/>
                <w:szCs w:val="20"/>
              </w:rPr>
              <w:t xml:space="preserve"> et al. (2021)</w:t>
            </w:r>
          </w:p>
        </w:tc>
      </w:tr>
      <w:tr w:rsidR="000101C1" w:rsidRPr="000101C1" w14:paraId="4FE2C361" w14:textId="77777777" w:rsidTr="000101C1">
        <w:tc>
          <w:tcPr>
            <w:tcW w:w="0" w:type="auto"/>
            <w:tcBorders>
              <w:bottom w:val="single" w:sz="4" w:space="0" w:color="auto"/>
            </w:tcBorders>
            <w:tcMar>
              <w:top w:w="15" w:type="dxa"/>
              <w:left w:w="0" w:type="dxa"/>
              <w:bottom w:w="15" w:type="dxa"/>
              <w:right w:w="15" w:type="dxa"/>
            </w:tcMar>
            <w:vAlign w:val="center"/>
            <w:hideMark/>
          </w:tcPr>
          <w:p w14:paraId="56AE97C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30256E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flexible furniture</w:t>
            </w:r>
          </w:p>
        </w:tc>
        <w:tc>
          <w:tcPr>
            <w:tcW w:w="0" w:type="auto"/>
            <w:tcBorders>
              <w:top w:val="single" w:sz="4" w:space="0" w:color="auto"/>
              <w:bottom w:val="single" w:sz="4" w:space="0" w:color="auto"/>
            </w:tcBorders>
            <w:vAlign w:val="center"/>
            <w:hideMark/>
          </w:tcPr>
          <w:p w14:paraId="0BCCEE6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Jegede &amp; Taki (2022), P2, P5</w:t>
            </w:r>
          </w:p>
        </w:tc>
      </w:tr>
      <w:tr w:rsidR="000101C1" w:rsidRPr="000101C1" w14:paraId="33F48364" w14:textId="77777777" w:rsidTr="000101C1">
        <w:tc>
          <w:tcPr>
            <w:tcW w:w="0" w:type="auto"/>
            <w:tcBorders>
              <w:top w:val="single" w:sz="4" w:space="0" w:color="auto"/>
            </w:tcBorders>
            <w:tcMar>
              <w:top w:w="15" w:type="dxa"/>
              <w:left w:w="0" w:type="dxa"/>
              <w:bottom w:w="15" w:type="dxa"/>
              <w:right w:w="15" w:type="dxa"/>
            </w:tcMar>
            <w:vAlign w:val="center"/>
            <w:hideMark/>
          </w:tcPr>
          <w:p w14:paraId="496E488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Standardization and Modularization of Design and Construction</w:t>
            </w:r>
          </w:p>
        </w:tc>
        <w:tc>
          <w:tcPr>
            <w:tcW w:w="0" w:type="auto"/>
            <w:tcBorders>
              <w:top w:val="single" w:sz="4" w:space="0" w:color="auto"/>
              <w:bottom w:val="single" w:sz="4" w:space="0" w:color="auto"/>
            </w:tcBorders>
            <w:vAlign w:val="center"/>
            <w:hideMark/>
          </w:tcPr>
          <w:p w14:paraId="26E14DF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flexible structural points for new systems and components</w:t>
            </w:r>
          </w:p>
        </w:tc>
        <w:tc>
          <w:tcPr>
            <w:tcW w:w="0" w:type="auto"/>
            <w:tcBorders>
              <w:top w:val="single" w:sz="4" w:space="0" w:color="auto"/>
              <w:bottom w:val="single" w:sz="4" w:space="0" w:color="auto"/>
            </w:tcBorders>
            <w:vAlign w:val="center"/>
            <w:hideMark/>
          </w:tcPr>
          <w:p w14:paraId="2C78DE4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Reid et al. (2020)</w:t>
            </w:r>
          </w:p>
        </w:tc>
      </w:tr>
      <w:tr w:rsidR="000101C1" w:rsidRPr="000101C1" w14:paraId="512EBD88" w14:textId="77777777" w:rsidTr="000101C1">
        <w:tc>
          <w:tcPr>
            <w:tcW w:w="0" w:type="auto"/>
            <w:tcMar>
              <w:top w:w="15" w:type="dxa"/>
              <w:left w:w="0" w:type="dxa"/>
              <w:bottom w:w="15" w:type="dxa"/>
              <w:right w:w="15" w:type="dxa"/>
            </w:tcMar>
            <w:vAlign w:val="center"/>
            <w:hideMark/>
          </w:tcPr>
          <w:p w14:paraId="46616A3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235C15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Structural flexibility to meet diverse needs</w:t>
            </w:r>
          </w:p>
        </w:tc>
        <w:tc>
          <w:tcPr>
            <w:tcW w:w="0" w:type="auto"/>
            <w:tcBorders>
              <w:top w:val="single" w:sz="4" w:space="0" w:color="auto"/>
              <w:bottom w:val="single" w:sz="4" w:space="0" w:color="auto"/>
            </w:tcBorders>
            <w:vAlign w:val="center"/>
            <w:hideMark/>
          </w:tcPr>
          <w:p w14:paraId="0346E0E7"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782C0B5D" w14:textId="77777777" w:rsidTr="000101C1">
        <w:tc>
          <w:tcPr>
            <w:tcW w:w="0" w:type="auto"/>
            <w:tcMar>
              <w:top w:w="15" w:type="dxa"/>
              <w:left w:w="0" w:type="dxa"/>
              <w:bottom w:w="15" w:type="dxa"/>
              <w:right w:w="15" w:type="dxa"/>
            </w:tcMar>
            <w:vAlign w:val="center"/>
            <w:hideMark/>
          </w:tcPr>
          <w:p w14:paraId="0929EC6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85F7F7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Activity zoning to ensure space independence while maintaining connectivity</w:t>
            </w:r>
          </w:p>
        </w:tc>
        <w:tc>
          <w:tcPr>
            <w:tcW w:w="0" w:type="auto"/>
            <w:tcBorders>
              <w:top w:val="single" w:sz="4" w:space="0" w:color="auto"/>
              <w:bottom w:val="single" w:sz="4" w:space="0" w:color="auto"/>
            </w:tcBorders>
            <w:vAlign w:val="center"/>
            <w:hideMark/>
          </w:tcPr>
          <w:p w14:paraId="72A9D3B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Buchanan et al. (2020)</w:t>
            </w:r>
          </w:p>
        </w:tc>
      </w:tr>
      <w:tr w:rsidR="000101C1" w:rsidRPr="000101C1" w14:paraId="3C24D180" w14:textId="77777777" w:rsidTr="000101C1">
        <w:tc>
          <w:tcPr>
            <w:tcW w:w="0" w:type="auto"/>
            <w:tcMar>
              <w:top w:w="15" w:type="dxa"/>
              <w:left w:w="0" w:type="dxa"/>
              <w:bottom w:w="15" w:type="dxa"/>
              <w:right w:w="15" w:type="dxa"/>
            </w:tcMar>
            <w:vAlign w:val="center"/>
            <w:hideMark/>
          </w:tcPr>
          <w:p w14:paraId="4CBCE09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5014A7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Creating spaces with height and plan integration principles</w:t>
            </w:r>
          </w:p>
        </w:tc>
        <w:tc>
          <w:tcPr>
            <w:tcW w:w="0" w:type="auto"/>
            <w:tcBorders>
              <w:top w:val="single" w:sz="4" w:space="0" w:color="auto"/>
              <w:bottom w:val="single" w:sz="4" w:space="0" w:color="auto"/>
            </w:tcBorders>
            <w:vAlign w:val="center"/>
            <w:hideMark/>
          </w:tcPr>
          <w:p w14:paraId="1D936F6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Reid et al. (2020)</w:t>
            </w:r>
          </w:p>
        </w:tc>
      </w:tr>
      <w:tr w:rsidR="000101C1" w:rsidRPr="000101C1" w14:paraId="2605C9F3" w14:textId="77777777" w:rsidTr="000101C1">
        <w:tc>
          <w:tcPr>
            <w:tcW w:w="0" w:type="auto"/>
            <w:tcMar>
              <w:top w:w="15" w:type="dxa"/>
              <w:left w:w="0" w:type="dxa"/>
              <w:bottom w:w="15" w:type="dxa"/>
              <w:right w:w="15" w:type="dxa"/>
            </w:tcMar>
            <w:vAlign w:val="center"/>
            <w:hideMark/>
          </w:tcPr>
          <w:p w14:paraId="6B85FF9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EABAA9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Proper spatial organization</w:t>
            </w:r>
          </w:p>
        </w:tc>
        <w:tc>
          <w:tcPr>
            <w:tcW w:w="0" w:type="auto"/>
            <w:tcBorders>
              <w:top w:val="single" w:sz="4" w:space="0" w:color="auto"/>
              <w:bottom w:val="single" w:sz="4" w:space="0" w:color="auto"/>
            </w:tcBorders>
            <w:vAlign w:val="center"/>
            <w:hideMark/>
          </w:tcPr>
          <w:p w14:paraId="6ABB1447"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Adetooto</w:t>
            </w:r>
            <w:proofErr w:type="spellEnd"/>
            <w:r w:rsidRPr="000101C1">
              <w:rPr>
                <w:rFonts w:asciiTheme="majorBidi" w:hAnsiTheme="majorBidi" w:cstheme="majorBidi"/>
                <w:sz w:val="20"/>
                <w:szCs w:val="20"/>
              </w:rPr>
              <w:t xml:space="preserve"> et al. (2022)</w:t>
            </w:r>
          </w:p>
        </w:tc>
      </w:tr>
      <w:tr w:rsidR="000101C1" w:rsidRPr="000101C1" w14:paraId="10ECF3EB" w14:textId="77777777" w:rsidTr="000101C1">
        <w:tc>
          <w:tcPr>
            <w:tcW w:w="0" w:type="auto"/>
            <w:tcMar>
              <w:top w:w="15" w:type="dxa"/>
              <w:left w:w="0" w:type="dxa"/>
              <w:bottom w:w="15" w:type="dxa"/>
              <w:right w:w="15" w:type="dxa"/>
            </w:tcMar>
            <w:vAlign w:val="center"/>
            <w:hideMark/>
          </w:tcPr>
          <w:p w14:paraId="4721472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2B418E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Clarity of morphology</w:t>
            </w:r>
          </w:p>
        </w:tc>
        <w:tc>
          <w:tcPr>
            <w:tcW w:w="0" w:type="auto"/>
            <w:tcBorders>
              <w:top w:val="single" w:sz="4" w:space="0" w:color="auto"/>
              <w:bottom w:val="single" w:sz="4" w:space="0" w:color="auto"/>
            </w:tcBorders>
            <w:vAlign w:val="center"/>
            <w:hideMark/>
          </w:tcPr>
          <w:p w14:paraId="322D5A46"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Ebrahimi et al. (2022)</w:t>
            </w:r>
          </w:p>
        </w:tc>
      </w:tr>
      <w:tr w:rsidR="000101C1" w:rsidRPr="000101C1" w14:paraId="32A3DEDE" w14:textId="77777777" w:rsidTr="000101C1">
        <w:tc>
          <w:tcPr>
            <w:tcW w:w="0" w:type="auto"/>
            <w:tcMar>
              <w:top w:w="15" w:type="dxa"/>
              <w:left w:w="0" w:type="dxa"/>
              <w:bottom w:w="15" w:type="dxa"/>
              <w:right w:w="15" w:type="dxa"/>
            </w:tcMar>
            <w:vAlign w:val="center"/>
            <w:hideMark/>
          </w:tcPr>
          <w:p w14:paraId="6D563298"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EDFE23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Hierarchical spatial zoning</w:t>
            </w:r>
          </w:p>
        </w:tc>
        <w:tc>
          <w:tcPr>
            <w:tcW w:w="0" w:type="auto"/>
            <w:tcBorders>
              <w:top w:val="single" w:sz="4" w:space="0" w:color="auto"/>
              <w:bottom w:val="single" w:sz="4" w:space="0" w:color="auto"/>
            </w:tcBorders>
            <w:vAlign w:val="center"/>
            <w:hideMark/>
          </w:tcPr>
          <w:p w14:paraId="0DF6082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MacAskill et al. (2021), P1, P5</w:t>
            </w:r>
          </w:p>
        </w:tc>
      </w:tr>
      <w:tr w:rsidR="000101C1" w:rsidRPr="000101C1" w14:paraId="0780FC71" w14:textId="77777777" w:rsidTr="000101C1">
        <w:tc>
          <w:tcPr>
            <w:tcW w:w="0" w:type="auto"/>
            <w:tcMar>
              <w:top w:w="15" w:type="dxa"/>
              <w:left w:w="0" w:type="dxa"/>
              <w:bottom w:w="15" w:type="dxa"/>
              <w:right w:w="15" w:type="dxa"/>
            </w:tcMar>
            <w:vAlign w:val="center"/>
            <w:hideMark/>
          </w:tcPr>
          <w:p w14:paraId="53A9B98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14013F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Central placement of service and communication spaces for maximum living space efficiency</w:t>
            </w:r>
          </w:p>
        </w:tc>
        <w:tc>
          <w:tcPr>
            <w:tcW w:w="0" w:type="auto"/>
            <w:tcBorders>
              <w:top w:val="single" w:sz="4" w:space="0" w:color="auto"/>
              <w:bottom w:val="single" w:sz="4" w:space="0" w:color="auto"/>
            </w:tcBorders>
            <w:vAlign w:val="center"/>
            <w:hideMark/>
          </w:tcPr>
          <w:p w14:paraId="024AB7FC"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Ebrahimi et al. (2022)</w:t>
            </w:r>
          </w:p>
        </w:tc>
      </w:tr>
      <w:tr w:rsidR="000101C1" w:rsidRPr="000101C1" w14:paraId="3FB93B14" w14:textId="77777777" w:rsidTr="000101C1">
        <w:tc>
          <w:tcPr>
            <w:tcW w:w="0" w:type="auto"/>
            <w:tcMar>
              <w:top w:w="15" w:type="dxa"/>
              <w:left w:w="0" w:type="dxa"/>
              <w:bottom w:w="15" w:type="dxa"/>
              <w:right w:w="15" w:type="dxa"/>
            </w:tcMar>
            <w:vAlign w:val="center"/>
            <w:hideMark/>
          </w:tcPr>
          <w:p w14:paraId="7A612FE0"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D76976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499A4E4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Buchanan et al. (2020)</w:t>
            </w:r>
          </w:p>
        </w:tc>
      </w:tr>
      <w:tr w:rsidR="000101C1" w:rsidRPr="000101C1" w14:paraId="293F68AF" w14:textId="77777777" w:rsidTr="00DD24AD">
        <w:tc>
          <w:tcPr>
            <w:tcW w:w="0" w:type="auto"/>
            <w:tcBorders>
              <w:bottom w:val="single" w:sz="4" w:space="0" w:color="auto"/>
            </w:tcBorders>
            <w:tcMar>
              <w:top w:w="15" w:type="dxa"/>
              <w:left w:w="0" w:type="dxa"/>
              <w:bottom w:w="15" w:type="dxa"/>
              <w:right w:w="15" w:type="dxa"/>
            </w:tcMar>
            <w:vAlign w:val="center"/>
            <w:hideMark/>
          </w:tcPr>
          <w:p w14:paraId="401C46D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7D627AF"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BIM for structural, architectural, and MEP integration (virtual design and construction)</w:t>
            </w:r>
          </w:p>
        </w:tc>
        <w:tc>
          <w:tcPr>
            <w:tcW w:w="0" w:type="auto"/>
            <w:tcBorders>
              <w:top w:val="single" w:sz="4" w:space="0" w:color="auto"/>
              <w:bottom w:val="single" w:sz="4" w:space="0" w:color="auto"/>
            </w:tcBorders>
            <w:vAlign w:val="center"/>
            <w:hideMark/>
          </w:tcPr>
          <w:p w14:paraId="0DBD10E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Favilukis</w:t>
            </w:r>
            <w:proofErr w:type="spellEnd"/>
            <w:r w:rsidRPr="000101C1">
              <w:rPr>
                <w:rFonts w:asciiTheme="majorBidi" w:hAnsiTheme="majorBidi" w:cstheme="majorBidi"/>
                <w:sz w:val="20"/>
                <w:szCs w:val="20"/>
              </w:rPr>
              <w:t xml:space="preserve"> et al. (2023)</w:t>
            </w:r>
          </w:p>
        </w:tc>
      </w:tr>
      <w:tr w:rsidR="000101C1" w:rsidRPr="000101C1" w14:paraId="3AF7FC6E" w14:textId="77777777" w:rsidTr="00DD24AD">
        <w:tc>
          <w:tcPr>
            <w:tcW w:w="0" w:type="auto"/>
            <w:tcBorders>
              <w:top w:val="single" w:sz="4" w:space="0" w:color="auto"/>
            </w:tcBorders>
            <w:tcMar>
              <w:top w:w="15" w:type="dxa"/>
              <w:left w:w="0" w:type="dxa"/>
              <w:bottom w:w="15" w:type="dxa"/>
              <w:right w:w="15" w:type="dxa"/>
            </w:tcMar>
            <w:vAlign w:val="center"/>
            <w:hideMark/>
          </w:tcPr>
          <w:p w14:paraId="009FBC7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Aesthetics and Preservation of Architectural Identity</w:t>
            </w:r>
          </w:p>
        </w:tc>
        <w:tc>
          <w:tcPr>
            <w:tcW w:w="0" w:type="auto"/>
            <w:tcBorders>
              <w:top w:val="single" w:sz="4" w:space="0" w:color="auto"/>
              <w:bottom w:val="single" w:sz="4" w:space="0" w:color="auto"/>
            </w:tcBorders>
            <w:vAlign w:val="center"/>
            <w:hideMark/>
          </w:tcPr>
          <w:p w14:paraId="0B0E189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flexible equipment</w:t>
            </w:r>
          </w:p>
        </w:tc>
        <w:tc>
          <w:tcPr>
            <w:tcW w:w="0" w:type="auto"/>
            <w:tcBorders>
              <w:top w:val="single" w:sz="4" w:space="0" w:color="auto"/>
              <w:bottom w:val="single" w:sz="4" w:space="0" w:color="auto"/>
            </w:tcBorders>
            <w:vAlign w:val="center"/>
            <w:hideMark/>
          </w:tcPr>
          <w:p w14:paraId="36D2404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Brysch</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Czischke</w:t>
            </w:r>
            <w:proofErr w:type="spellEnd"/>
            <w:r w:rsidRPr="000101C1">
              <w:rPr>
                <w:rFonts w:asciiTheme="majorBidi" w:hAnsiTheme="majorBidi" w:cstheme="majorBidi"/>
                <w:sz w:val="20"/>
                <w:szCs w:val="20"/>
              </w:rPr>
              <w:t xml:space="preserve"> (2022)</w:t>
            </w:r>
          </w:p>
        </w:tc>
      </w:tr>
      <w:tr w:rsidR="000101C1" w:rsidRPr="000101C1" w14:paraId="0D90351B" w14:textId="77777777" w:rsidTr="000101C1">
        <w:tc>
          <w:tcPr>
            <w:tcW w:w="0" w:type="auto"/>
            <w:tcMar>
              <w:top w:w="15" w:type="dxa"/>
              <w:left w:w="0" w:type="dxa"/>
              <w:bottom w:w="15" w:type="dxa"/>
              <w:right w:w="15" w:type="dxa"/>
            </w:tcMar>
            <w:vAlign w:val="center"/>
            <w:hideMark/>
          </w:tcPr>
          <w:p w14:paraId="569BDF0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4C7EBE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flexible furniture</w:t>
            </w:r>
          </w:p>
        </w:tc>
        <w:tc>
          <w:tcPr>
            <w:tcW w:w="0" w:type="auto"/>
            <w:tcBorders>
              <w:top w:val="single" w:sz="4" w:space="0" w:color="auto"/>
              <w:bottom w:val="single" w:sz="4" w:space="0" w:color="auto"/>
            </w:tcBorders>
            <w:vAlign w:val="center"/>
            <w:hideMark/>
          </w:tcPr>
          <w:p w14:paraId="74B2E1E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Han et al. (2021)</w:t>
            </w:r>
          </w:p>
        </w:tc>
      </w:tr>
      <w:tr w:rsidR="000101C1" w:rsidRPr="000101C1" w14:paraId="74F60802" w14:textId="77777777" w:rsidTr="000101C1">
        <w:tc>
          <w:tcPr>
            <w:tcW w:w="0" w:type="auto"/>
            <w:tcMar>
              <w:top w:w="15" w:type="dxa"/>
              <w:left w:w="0" w:type="dxa"/>
              <w:bottom w:w="15" w:type="dxa"/>
              <w:right w:w="15" w:type="dxa"/>
            </w:tcMar>
            <w:vAlign w:val="center"/>
            <w:hideMark/>
          </w:tcPr>
          <w:p w14:paraId="7052017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50FC02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Proper spatial organization</w:t>
            </w:r>
          </w:p>
        </w:tc>
        <w:tc>
          <w:tcPr>
            <w:tcW w:w="0" w:type="auto"/>
            <w:tcBorders>
              <w:top w:val="single" w:sz="4" w:space="0" w:color="auto"/>
              <w:bottom w:val="single" w:sz="4" w:space="0" w:color="auto"/>
            </w:tcBorders>
            <w:vAlign w:val="center"/>
            <w:hideMark/>
          </w:tcPr>
          <w:p w14:paraId="184A499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Reid et al. (2020)</w:t>
            </w:r>
          </w:p>
        </w:tc>
      </w:tr>
      <w:tr w:rsidR="000101C1" w:rsidRPr="000101C1" w14:paraId="644E78DE" w14:textId="77777777" w:rsidTr="000101C1">
        <w:tc>
          <w:tcPr>
            <w:tcW w:w="0" w:type="auto"/>
            <w:tcMar>
              <w:top w:w="15" w:type="dxa"/>
              <w:left w:w="0" w:type="dxa"/>
              <w:bottom w:w="15" w:type="dxa"/>
              <w:right w:w="15" w:type="dxa"/>
            </w:tcMar>
            <w:vAlign w:val="center"/>
            <w:hideMark/>
          </w:tcPr>
          <w:p w14:paraId="1D9E32F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916A39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Clarity of morphology</w:t>
            </w:r>
          </w:p>
        </w:tc>
        <w:tc>
          <w:tcPr>
            <w:tcW w:w="0" w:type="auto"/>
            <w:tcBorders>
              <w:top w:val="single" w:sz="4" w:space="0" w:color="auto"/>
              <w:bottom w:val="single" w:sz="4" w:space="0" w:color="auto"/>
            </w:tcBorders>
            <w:vAlign w:val="center"/>
            <w:hideMark/>
          </w:tcPr>
          <w:p w14:paraId="548DF074"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MacAskill et al. (2021)</w:t>
            </w:r>
          </w:p>
        </w:tc>
      </w:tr>
      <w:tr w:rsidR="000101C1" w:rsidRPr="000101C1" w14:paraId="0ABD2716" w14:textId="77777777" w:rsidTr="000101C1">
        <w:tc>
          <w:tcPr>
            <w:tcW w:w="0" w:type="auto"/>
            <w:tcMar>
              <w:top w:w="15" w:type="dxa"/>
              <w:left w:w="0" w:type="dxa"/>
              <w:bottom w:w="15" w:type="dxa"/>
              <w:right w:w="15" w:type="dxa"/>
            </w:tcMar>
            <w:vAlign w:val="center"/>
            <w:hideMark/>
          </w:tcPr>
          <w:p w14:paraId="317FB79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BB3C92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Hierarchical spatial zoning</w:t>
            </w:r>
          </w:p>
        </w:tc>
        <w:tc>
          <w:tcPr>
            <w:tcW w:w="0" w:type="auto"/>
            <w:tcBorders>
              <w:top w:val="single" w:sz="4" w:space="0" w:color="auto"/>
              <w:bottom w:val="single" w:sz="4" w:space="0" w:color="auto"/>
            </w:tcBorders>
            <w:vAlign w:val="center"/>
            <w:hideMark/>
          </w:tcPr>
          <w:p w14:paraId="0B38526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Favilukis</w:t>
            </w:r>
            <w:proofErr w:type="spellEnd"/>
            <w:r w:rsidRPr="000101C1">
              <w:rPr>
                <w:rFonts w:asciiTheme="majorBidi" w:hAnsiTheme="majorBidi" w:cstheme="majorBidi"/>
                <w:sz w:val="20"/>
                <w:szCs w:val="20"/>
              </w:rPr>
              <w:t xml:space="preserve"> et al. (2023)</w:t>
            </w:r>
          </w:p>
        </w:tc>
      </w:tr>
      <w:tr w:rsidR="000101C1" w:rsidRPr="000101C1" w14:paraId="7C25DA81" w14:textId="77777777" w:rsidTr="00DD24AD">
        <w:tc>
          <w:tcPr>
            <w:tcW w:w="0" w:type="auto"/>
            <w:tcBorders>
              <w:bottom w:val="single" w:sz="4" w:space="0" w:color="auto"/>
            </w:tcBorders>
            <w:tcMar>
              <w:top w:w="15" w:type="dxa"/>
              <w:left w:w="0" w:type="dxa"/>
              <w:bottom w:w="15" w:type="dxa"/>
              <w:right w:w="15" w:type="dxa"/>
            </w:tcMar>
            <w:vAlign w:val="center"/>
            <w:hideMark/>
          </w:tcPr>
          <w:p w14:paraId="1591344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E8F9E5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Meeting spatial standards using anthropometric standards</w:t>
            </w:r>
          </w:p>
        </w:tc>
        <w:tc>
          <w:tcPr>
            <w:tcW w:w="0" w:type="auto"/>
            <w:tcBorders>
              <w:top w:val="single" w:sz="4" w:space="0" w:color="auto"/>
              <w:bottom w:val="single" w:sz="4" w:space="0" w:color="auto"/>
            </w:tcBorders>
            <w:vAlign w:val="center"/>
            <w:hideMark/>
          </w:tcPr>
          <w:p w14:paraId="66B9ACC4"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Jegede &amp; Taki (2022)</w:t>
            </w:r>
          </w:p>
        </w:tc>
      </w:tr>
      <w:tr w:rsidR="000101C1" w:rsidRPr="000101C1" w14:paraId="248601F6" w14:textId="77777777" w:rsidTr="00DD24AD">
        <w:tc>
          <w:tcPr>
            <w:tcW w:w="0" w:type="auto"/>
            <w:tcBorders>
              <w:top w:val="single" w:sz="4" w:space="0" w:color="auto"/>
            </w:tcBorders>
            <w:tcMar>
              <w:top w:w="15" w:type="dxa"/>
              <w:left w:w="0" w:type="dxa"/>
              <w:bottom w:w="15" w:type="dxa"/>
              <w:right w:w="15" w:type="dxa"/>
            </w:tcMar>
            <w:vAlign w:val="center"/>
            <w:hideMark/>
          </w:tcPr>
          <w:p w14:paraId="533C7801"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Strengthening Neighborhood Relations and Social Interaction</w:t>
            </w:r>
          </w:p>
        </w:tc>
        <w:tc>
          <w:tcPr>
            <w:tcW w:w="0" w:type="auto"/>
            <w:tcBorders>
              <w:top w:val="single" w:sz="4" w:space="0" w:color="auto"/>
              <w:bottom w:val="single" w:sz="4" w:space="0" w:color="auto"/>
            </w:tcBorders>
            <w:vAlign w:val="center"/>
            <w:hideMark/>
          </w:tcPr>
          <w:p w14:paraId="51D4A2F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Simplifying unit shapes</w:t>
            </w:r>
          </w:p>
        </w:tc>
        <w:tc>
          <w:tcPr>
            <w:tcW w:w="0" w:type="auto"/>
            <w:tcBorders>
              <w:top w:val="single" w:sz="4" w:space="0" w:color="auto"/>
              <w:bottom w:val="single" w:sz="4" w:space="0" w:color="auto"/>
            </w:tcBorders>
            <w:vAlign w:val="center"/>
            <w:hideMark/>
          </w:tcPr>
          <w:p w14:paraId="657DC1F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Buchanan et al. (2020), P3</w:t>
            </w:r>
          </w:p>
        </w:tc>
      </w:tr>
      <w:tr w:rsidR="000101C1" w:rsidRPr="000101C1" w14:paraId="23F03B91" w14:textId="77777777" w:rsidTr="000101C1">
        <w:tc>
          <w:tcPr>
            <w:tcW w:w="0" w:type="auto"/>
            <w:tcMar>
              <w:top w:w="15" w:type="dxa"/>
              <w:left w:w="0" w:type="dxa"/>
              <w:bottom w:w="15" w:type="dxa"/>
              <w:right w:w="15" w:type="dxa"/>
            </w:tcMar>
            <w:vAlign w:val="center"/>
            <w:hideMark/>
          </w:tcPr>
          <w:p w14:paraId="4405F1D0"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31AA24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Proper spatial organization</w:t>
            </w:r>
          </w:p>
        </w:tc>
        <w:tc>
          <w:tcPr>
            <w:tcW w:w="0" w:type="auto"/>
            <w:tcBorders>
              <w:top w:val="single" w:sz="4" w:space="0" w:color="auto"/>
              <w:bottom w:val="single" w:sz="4" w:space="0" w:color="auto"/>
            </w:tcBorders>
            <w:vAlign w:val="center"/>
            <w:hideMark/>
          </w:tcPr>
          <w:p w14:paraId="1FD0AFA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Do (2024)</w:t>
            </w:r>
          </w:p>
        </w:tc>
      </w:tr>
      <w:tr w:rsidR="000101C1" w:rsidRPr="000101C1" w14:paraId="5111250C" w14:textId="77777777" w:rsidTr="000101C1">
        <w:tc>
          <w:tcPr>
            <w:tcW w:w="0" w:type="auto"/>
            <w:tcMar>
              <w:top w:w="15" w:type="dxa"/>
              <w:left w:w="0" w:type="dxa"/>
              <w:bottom w:w="15" w:type="dxa"/>
              <w:right w:w="15" w:type="dxa"/>
            </w:tcMar>
            <w:vAlign w:val="center"/>
            <w:hideMark/>
          </w:tcPr>
          <w:p w14:paraId="5229FA9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F7FA00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Clarity of morphology</w:t>
            </w:r>
          </w:p>
        </w:tc>
        <w:tc>
          <w:tcPr>
            <w:tcW w:w="0" w:type="auto"/>
            <w:tcBorders>
              <w:top w:val="single" w:sz="4" w:space="0" w:color="auto"/>
              <w:bottom w:val="single" w:sz="4" w:space="0" w:color="auto"/>
            </w:tcBorders>
            <w:vAlign w:val="center"/>
            <w:hideMark/>
          </w:tcPr>
          <w:p w14:paraId="4E2A8A86"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Ebrahimi et al. (2022)</w:t>
            </w:r>
          </w:p>
        </w:tc>
      </w:tr>
      <w:tr w:rsidR="000101C1" w:rsidRPr="000101C1" w14:paraId="102ED163" w14:textId="77777777" w:rsidTr="000101C1">
        <w:tc>
          <w:tcPr>
            <w:tcW w:w="0" w:type="auto"/>
            <w:tcMar>
              <w:top w:w="15" w:type="dxa"/>
              <w:left w:w="0" w:type="dxa"/>
              <w:bottom w:w="15" w:type="dxa"/>
              <w:right w:w="15" w:type="dxa"/>
            </w:tcMar>
            <w:vAlign w:val="center"/>
            <w:hideMark/>
          </w:tcPr>
          <w:p w14:paraId="19C72C8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9050C5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Meeting spatial standards using anthropometric standards</w:t>
            </w:r>
          </w:p>
        </w:tc>
        <w:tc>
          <w:tcPr>
            <w:tcW w:w="0" w:type="auto"/>
            <w:tcBorders>
              <w:top w:val="single" w:sz="4" w:space="0" w:color="auto"/>
              <w:bottom w:val="single" w:sz="4" w:space="0" w:color="auto"/>
            </w:tcBorders>
            <w:vAlign w:val="center"/>
            <w:hideMark/>
          </w:tcPr>
          <w:p w14:paraId="21B74DC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Rubin &amp; </w:t>
            </w:r>
            <w:proofErr w:type="spellStart"/>
            <w:r w:rsidRPr="000101C1">
              <w:rPr>
                <w:rFonts w:asciiTheme="majorBidi" w:hAnsiTheme="majorBidi" w:cstheme="majorBidi"/>
                <w:sz w:val="20"/>
                <w:szCs w:val="20"/>
              </w:rPr>
              <w:t>Ponsor</w:t>
            </w:r>
            <w:proofErr w:type="spellEnd"/>
            <w:r w:rsidRPr="000101C1">
              <w:rPr>
                <w:rFonts w:asciiTheme="majorBidi" w:hAnsiTheme="majorBidi" w:cstheme="majorBidi"/>
                <w:sz w:val="20"/>
                <w:szCs w:val="20"/>
              </w:rPr>
              <w:t xml:space="preserve"> (2018)</w:t>
            </w:r>
          </w:p>
        </w:tc>
      </w:tr>
      <w:tr w:rsidR="000101C1" w:rsidRPr="000101C1" w14:paraId="3C64348C" w14:textId="77777777" w:rsidTr="000101C1">
        <w:tc>
          <w:tcPr>
            <w:tcW w:w="0" w:type="auto"/>
            <w:tcBorders>
              <w:bottom w:val="single" w:sz="4" w:space="0" w:color="auto"/>
            </w:tcBorders>
            <w:tcMar>
              <w:top w:w="15" w:type="dxa"/>
              <w:left w:w="0" w:type="dxa"/>
              <w:bottom w:w="15" w:type="dxa"/>
              <w:right w:w="15" w:type="dxa"/>
            </w:tcMar>
            <w:vAlign w:val="center"/>
            <w:hideMark/>
          </w:tcPr>
          <w:p w14:paraId="6F23887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1385F8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Dimensional standardization</w:t>
            </w:r>
          </w:p>
        </w:tc>
        <w:tc>
          <w:tcPr>
            <w:tcW w:w="0" w:type="auto"/>
            <w:tcBorders>
              <w:top w:val="single" w:sz="4" w:space="0" w:color="auto"/>
              <w:bottom w:val="single" w:sz="4" w:space="0" w:color="auto"/>
            </w:tcBorders>
            <w:vAlign w:val="center"/>
            <w:hideMark/>
          </w:tcPr>
          <w:p w14:paraId="2AB6A853"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Favilukis</w:t>
            </w:r>
            <w:proofErr w:type="spellEnd"/>
            <w:r w:rsidRPr="000101C1">
              <w:rPr>
                <w:rFonts w:asciiTheme="majorBidi" w:hAnsiTheme="majorBidi" w:cstheme="majorBidi"/>
                <w:sz w:val="20"/>
                <w:szCs w:val="20"/>
              </w:rPr>
              <w:t xml:space="preserve"> et al. (2023)</w:t>
            </w:r>
          </w:p>
        </w:tc>
      </w:tr>
      <w:tr w:rsidR="000101C1" w:rsidRPr="000101C1" w14:paraId="2D0DD10D" w14:textId="77777777" w:rsidTr="000101C1">
        <w:tc>
          <w:tcPr>
            <w:tcW w:w="0" w:type="auto"/>
            <w:tcBorders>
              <w:top w:val="single" w:sz="4" w:space="0" w:color="auto"/>
            </w:tcBorders>
            <w:tcMar>
              <w:top w:w="15" w:type="dxa"/>
              <w:left w:w="0" w:type="dxa"/>
              <w:bottom w:w="15" w:type="dxa"/>
              <w:right w:w="15" w:type="dxa"/>
            </w:tcMar>
            <w:vAlign w:val="center"/>
            <w:hideMark/>
          </w:tcPr>
          <w:p w14:paraId="6B40A1C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Use of Modern Technologies in Construction and Design</w:t>
            </w:r>
          </w:p>
        </w:tc>
        <w:tc>
          <w:tcPr>
            <w:tcW w:w="0" w:type="auto"/>
            <w:tcBorders>
              <w:top w:val="single" w:sz="4" w:space="0" w:color="auto"/>
              <w:bottom w:val="single" w:sz="4" w:space="0" w:color="auto"/>
            </w:tcBorders>
            <w:vAlign w:val="center"/>
            <w:hideMark/>
          </w:tcPr>
          <w:p w14:paraId="298AE44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elements</w:t>
            </w:r>
          </w:p>
        </w:tc>
        <w:tc>
          <w:tcPr>
            <w:tcW w:w="0" w:type="auto"/>
            <w:tcBorders>
              <w:top w:val="single" w:sz="4" w:space="0" w:color="auto"/>
              <w:bottom w:val="single" w:sz="4" w:space="0" w:color="auto"/>
            </w:tcBorders>
            <w:vAlign w:val="center"/>
            <w:hideMark/>
          </w:tcPr>
          <w:p w14:paraId="506425E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Rubin &amp; </w:t>
            </w:r>
            <w:proofErr w:type="spellStart"/>
            <w:r w:rsidRPr="000101C1">
              <w:rPr>
                <w:rFonts w:asciiTheme="majorBidi" w:hAnsiTheme="majorBidi" w:cstheme="majorBidi"/>
                <w:sz w:val="20"/>
                <w:szCs w:val="20"/>
              </w:rPr>
              <w:t>Ponsor</w:t>
            </w:r>
            <w:proofErr w:type="spellEnd"/>
            <w:r w:rsidRPr="000101C1">
              <w:rPr>
                <w:rFonts w:asciiTheme="majorBidi" w:hAnsiTheme="majorBidi" w:cstheme="majorBidi"/>
                <w:sz w:val="20"/>
                <w:szCs w:val="20"/>
              </w:rPr>
              <w:t xml:space="preserve"> (2018), P4, P5</w:t>
            </w:r>
          </w:p>
        </w:tc>
      </w:tr>
      <w:tr w:rsidR="000101C1" w:rsidRPr="000101C1" w14:paraId="6B01DE9E" w14:textId="77777777" w:rsidTr="000101C1">
        <w:tc>
          <w:tcPr>
            <w:tcW w:w="0" w:type="auto"/>
            <w:tcMar>
              <w:top w:w="15" w:type="dxa"/>
              <w:left w:w="0" w:type="dxa"/>
              <w:bottom w:w="15" w:type="dxa"/>
              <w:right w:w="15" w:type="dxa"/>
            </w:tcMar>
            <w:vAlign w:val="center"/>
            <w:hideMark/>
          </w:tcPr>
          <w:p w14:paraId="0619AEE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2586D5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Plans for partitioning spaces for combined uses</w:t>
            </w:r>
          </w:p>
        </w:tc>
        <w:tc>
          <w:tcPr>
            <w:tcW w:w="0" w:type="auto"/>
            <w:tcBorders>
              <w:top w:val="single" w:sz="4" w:space="0" w:color="auto"/>
              <w:bottom w:val="single" w:sz="4" w:space="0" w:color="auto"/>
            </w:tcBorders>
            <w:vAlign w:val="center"/>
            <w:hideMark/>
          </w:tcPr>
          <w:p w14:paraId="3567D27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Do (2024)</w:t>
            </w:r>
          </w:p>
        </w:tc>
      </w:tr>
      <w:tr w:rsidR="000101C1" w:rsidRPr="000101C1" w14:paraId="6DE45507" w14:textId="77777777" w:rsidTr="000101C1">
        <w:tc>
          <w:tcPr>
            <w:tcW w:w="0" w:type="auto"/>
            <w:tcMar>
              <w:top w:w="15" w:type="dxa"/>
              <w:left w:w="0" w:type="dxa"/>
              <w:bottom w:w="15" w:type="dxa"/>
              <w:right w:w="15" w:type="dxa"/>
            </w:tcMar>
            <w:vAlign w:val="center"/>
            <w:hideMark/>
          </w:tcPr>
          <w:p w14:paraId="41C646D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E9962AD"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Central placement of service and communication spaces for maximum living space efficiency</w:t>
            </w:r>
          </w:p>
        </w:tc>
        <w:tc>
          <w:tcPr>
            <w:tcW w:w="0" w:type="auto"/>
            <w:tcBorders>
              <w:top w:val="single" w:sz="4" w:space="0" w:color="auto"/>
              <w:bottom w:val="single" w:sz="4" w:space="0" w:color="auto"/>
            </w:tcBorders>
            <w:vAlign w:val="center"/>
            <w:hideMark/>
          </w:tcPr>
          <w:p w14:paraId="0D6B714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Ebrahimi et al. (2022)</w:t>
            </w:r>
          </w:p>
        </w:tc>
      </w:tr>
      <w:tr w:rsidR="000101C1" w:rsidRPr="000101C1" w14:paraId="693D2DEA" w14:textId="77777777" w:rsidTr="000101C1">
        <w:tc>
          <w:tcPr>
            <w:tcW w:w="0" w:type="auto"/>
            <w:tcMar>
              <w:top w:w="15" w:type="dxa"/>
              <w:left w:w="0" w:type="dxa"/>
              <w:bottom w:w="15" w:type="dxa"/>
              <w:right w:w="15" w:type="dxa"/>
            </w:tcMar>
            <w:vAlign w:val="center"/>
            <w:hideMark/>
          </w:tcPr>
          <w:p w14:paraId="6B9ED0E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6C0DC0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6FC4BAB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Brysch</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Czischke</w:t>
            </w:r>
            <w:proofErr w:type="spellEnd"/>
            <w:r w:rsidRPr="000101C1">
              <w:rPr>
                <w:rFonts w:asciiTheme="majorBidi" w:hAnsiTheme="majorBidi" w:cstheme="majorBidi"/>
                <w:sz w:val="20"/>
                <w:szCs w:val="20"/>
              </w:rPr>
              <w:t xml:space="preserve"> (2022)</w:t>
            </w:r>
          </w:p>
        </w:tc>
      </w:tr>
      <w:tr w:rsidR="000101C1" w:rsidRPr="000101C1" w14:paraId="1272B31F" w14:textId="77777777" w:rsidTr="000101C1">
        <w:tc>
          <w:tcPr>
            <w:tcW w:w="0" w:type="auto"/>
            <w:tcMar>
              <w:top w:w="15" w:type="dxa"/>
              <w:left w:w="0" w:type="dxa"/>
              <w:bottom w:w="15" w:type="dxa"/>
              <w:right w:w="15" w:type="dxa"/>
            </w:tcMar>
            <w:vAlign w:val="center"/>
            <w:hideMark/>
          </w:tcPr>
          <w:p w14:paraId="6B176603"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BB1728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6183A58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Reid et al. (2020)</w:t>
            </w:r>
          </w:p>
        </w:tc>
      </w:tr>
      <w:tr w:rsidR="000101C1" w:rsidRPr="000101C1" w14:paraId="49A21753" w14:textId="77777777" w:rsidTr="000101C1">
        <w:tc>
          <w:tcPr>
            <w:tcW w:w="0" w:type="auto"/>
            <w:tcMar>
              <w:top w:w="15" w:type="dxa"/>
              <w:left w:w="0" w:type="dxa"/>
              <w:bottom w:w="15" w:type="dxa"/>
              <w:right w:w="15" w:type="dxa"/>
            </w:tcMar>
            <w:vAlign w:val="center"/>
            <w:hideMark/>
          </w:tcPr>
          <w:p w14:paraId="554E55C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93D588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BIM for structural, architectural, and MEP integration (virtual design and construction)</w:t>
            </w:r>
          </w:p>
        </w:tc>
        <w:tc>
          <w:tcPr>
            <w:tcW w:w="0" w:type="auto"/>
            <w:tcBorders>
              <w:top w:val="single" w:sz="4" w:space="0" w:color="auto"/>
              <w:bottom w:val="single" w:sz="4" w:space="0" w:color="auto"/>
            </w:tcBorders>
            <w:vAlign w:val="center"/>
            <w:hideMark/>
          </w:tcPr>
          <w:p w14:paraId="017A3DD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1559CD69" w14:textId="77777777" w:rsidTr="000101C1">
        <w:tc>
          <w:tcPr>
            <w:tcW w:w="0" w:type="auto"/>
            <w:tcMar>
              <w:top w:w="15" w:type="dxa"/>
              <w:left w:w="0" w:type="dxa"/>
              <w:bottom w:w="15" w:type="dxa"/>
              <w:right w:w="15" w:type="dxa"/>
            </w:tcMar>
            <w:vAlign w:val="center"/>
            <w:hideMark/>
          </w:tcPr>
          <w:p w14:paraId="6A659EE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78EABE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User-centric and people-oriented approach</w:t>
            </w:r>
          </w:p>
        </w:tc>
        <w:tc>
          <w:tcPr>
            <w:tcW w:w="0" w:type="auto"/>
            <w:tcBorders>
              <w:top w:val="single" w:sz="4" w:space="0" w:color="auto"/>
              <w:bottom w:val="single" w:sz="4" w:space="0" w:color="auto"/>
            </w:tcBorders>
            <w:vAlign w:val="center"/>
            <w:hideMark/>
          </w:tcPr>
          <w:p w14:paraId="1764E960"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Zapaśnik</w:t>
            </w:r>
            <w:proofErr w:type="spellEnd"/>
            <w:r w:rsidRPr="000101C1">
              <w:rPr>
                <w:rFonts w:asciiTheme="majorBidi" w:hAnsiTheme="majorBidi" w:cstheme="majorBidi"/>
                <w:sz w:val="20"/>
                <w:szCs w:val="20"/>
              </w:rPr>
              <w:t xml:space="preserve"> (2024)</w:t>
            </w:r>
          </w:p>
        </w:tc>
      </w:tr>
      <w:tr w:rsidR="000101C1" w:rsidRPr="000101C1" w14:paraId="6EA2391A" w14:textId="77777777" w:rsidTr="000101C1">
        <w:tc>
          <w:tcPr>
            <w:tcW w:w="0" w:type="auto"/>
            <w:tcBorders>
              <w:bottom w:val="single" w:sz="4" w:space="0" w:color="auto"/>
            </w:tcBorders>
            <w:tcMar>
              <w:top w:w="15" w:type="dxa"/>
              <w:left w:w="0" w:type="dxa"/>
              <w:bottom w:w="15" w:type="dxa"/>
              <w:right w:w="15" w:type="dxa"/>
            </w:tcMar>
            <w:vAlign w:val="center"/>
            <w:hideMark/>
          </w:tcPr>
          <w:p w14:paraId="3129FE33"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309C83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Addressing the needs of individuals with disabilities (e.g., blind, deaf)</w:t>
            </w:r>
          </w:p>
        </w:tc>
        <w:tc>
          <w:tcPr>
            <w:tcW w:w="0" w:type="auto"/>
            <w:tcBorders>
              <w:top w:val="single" w:sz="4" w:space="0" w:color="auto"/>
              <w:bottom w:val="single" w:sz="4" w:space="0" w:color="auto"/>
            </w:tcBorders>
            <w:vAlign w:val="center"/>
            <w:hideMark/>
          </w:tcPr>
          <w:p w14:paraId="1951B53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77924731" w14:textId="77777777" w:rsidTr="000101C1">
        <w:tc>
          <w:tcPr>
            <w:tcW w:w="0" w:type="auto"/>
            <w:tcBorders>
              <w:top w:val="single" w:sz="4" w:space="0" w:color="auto"/>
            </w:tcBorders>
            <w:tcMar>
              <w:top w:w="15" w:type="dxa"/>
              <w:left w:w="0" w:type="dxa"/>
              <w:bottom w:w="15" w:type="dxa"/>
              <w:right w:w="15" w:type="dxa"/>
            </w:tcMar>
            <w:vAlign w:val="center"/>
            <w:hideMark/>
          </w:tcPr>
          <w:p w14:paraId="60757BC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Safety and Building Resilience</w:t>
            </w:r>
          </w:p>
        </w:tc>
        <w:tc>
          <w:tcPr>
            <w:tcW w:w="0" w:type="auto"/>
            <w:tcBorders>
              <w:top w:val="single" w:sz="4" w:space="0" w:color="auto"/>
              <w:bottom w:val="single" w:sz="4" w:space="0" w:color="auto"/>
            </w:tcBorders>
            <w:vAlign w:val="center"/>
            <w:hideMark/>
          </w:tcPr>
          <w:p w14:paraId="161A595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Simplifying unit shapes</w:t>
            </w:r>
          </w:p>
        </w:tc>
        <w:tc>
          <w:tcPr>
            <w:tcW w:w="0" w:type="auto"/>
            <w:tcBorders>
              <w:top w:val="single" w:sz="4" w:space="0" w:color="auto"/>
              <w:bottom w:val="single" w:sz="4" w:space="0" w:color="auto"/>
            </w:tcBorders>
            <w:vAlign w:val="center"/>
            <w:hideMark/>
          </w:tcPr>
          <w:p w14:paraId="0BE1FC21"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Brysch</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Czischke</w:t>
            </w:r>
            <w:proofErr w:type="spellEnd"/>
            <w:r w:rsidRPr="000101C1">
              <w:rPr>
                <w:rFonts w:asciiTheme="majorBidi" w:hAnsiTheme="majorBidi" w:cstheme="majorBidi"/>
                <w:sz w:val="20"/>
                <w:szCs w:val="20"/>
              </w:rPr>
              <w:t xml:space="preserve"> (2022)</w:t>
            </w:r>
          </w:p>
        </w:tc>
      </w:tr>
      <w:tr w:rsidR="000101C1" w:rsidRPr="000101C1" w14:paraId="25298ADC" w14:textId="77777777" w:rsidTr="000101C1">
        <w:tc>
          <w:tcPr>
            <w:tcW w:w="0" w:type="auto"/>
            <w:tcMar>
              <w:top w:w="15" w:type="dxa"/>
              <w:left w:w="0" w:type="dxa"/>
              <w:bottom w:w="15" w:type="dxa"/>
              <w:right w:w="15" w:type="dxa"/>
            </w:tcMar>
            <w:vAlign w:val="center"/>
            <w:hideMark/>
          </w:tcPr>
          <w:p w14:paraId="41C20E6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CAF329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Dimensional standardization</w:t>
            </w:r>
          </w:p>
        </w:tc>
        <w:tc>
          <w:tcPr>
            <w:tcW w:w="0" w:type="auto"/>
            <w:tcBorders>
              <w:top w:val="single" w:sz="4" w:space="0" w:color="auto"/>
              <w:bottom w:val="single" w:sz="4" w:space="0" w:color="auto"/>
            </w:tcBorders>
            <w:vAlign w:val="center"/>
            <w:hideMark/>
          </w:tcPr>
          <w:p w14:paraId="783505B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Reid et al. (2020)</w:t>
            </w:r>
          </w:p>
        </w:tc>
      </w:tr>
      <w:tr w:rsidR="000101C1" w:rsidRPr="000101C1" w14:paraId="329FE9D7" w14:textId="77777777" w:rsidTr="000101C1">
        <w:tc>
          <w:tcPr>
            <w:tcW w:w="0" w:type="auto"/>
            <w:tcMar>
              <w:top w:w="15" w:type="dxa"/>
              <w:left w:w="0" w:type="dxa"/>
              <w:bottom w:w="15" w:type="dxa"/>
              <w:right w:w="15" w:type="dxa"/>
            </w:tcMar>
            <w:vAlign w:val="center"/>
            <w:hideMark/>
          </w:tcPr>
          <w:p w14:paraId="45C0EF1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5A2198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elements</w:t>
            </w:r>
          </w:p>
        </w:tc>
        <w:tc>
          <w:tcPr>
            <w:tcW w:w="0" w:type="auto"/>
            <w:tcBorders>
              <w:top w:val="single" w:sz="4" w:space="0" w:color="auto"/>
              <w:bottom w:val="single" w:sz="4" w:space="0" w:color="auto"/>
            </w:tcBorders>
            <w:vAlign w:val="center"/>
            <w:hideMark/>
          </w:tcPr>
          <w:p w14:paraId="06BA42C3"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Zapaśnik</w:t>
            </w:r>
            <w:proofErr w:type="spellEnd"/>
            <w:r w:rsidRPr="000101C1">
              <w:rPr>
                <w:rFonts w:asciiTheme="majorBidi" w:hAnsiTheme="majorBidi" w:cstheme="majorBidi"/>
                <w:sz w:val="20"/>
                <w:szCs w:val="20"/>
              </w:rPr>
              <w:t xml:space="preserve"> (2024)</w:t>
            </w:r>
          </w:p>
        </w:tc>
      </w:tr>
      <w:tr w:rsidR="000101C1" w:rsidRPr="000101C1" w14:paraId="0CB1782C" w14:textId="77777777" w:rsidTr="000101C1">
        <w:tc>
          <w:tcPr>
            <w:tcW w:w="0" w:type="auto"/>
            <w:tcMar>
              <w:top w:w="15" w:type="dxa"/>
              <w:left w:w="0" w:type="dxa"/>
              <w:bottom w:w="15" w:type="dxa"/>
              <w:right w:w="15" w:type="dxa"/>
            </w:tcMar>
            <w:vAlign w:val="center"/>
            <w:hideMark/>
          </w:tcPr>
          <w:p w14:paraId="3BDA9D0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CC6A05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Plans for partitioning spaces for combined uses</w:t>
            </w:r>
          </w:p>
        </w:tc>
        <w:tc>
          <w:tcPr>
            <w:tcW w:w="0" w:type="auto"/>
            <w:tcBorders>
              <w:top w:val="single" w:sz="4" w:space="0" w:color="auto"/>
              <w:bottom w:val="single" w:sz="4" w:space="0" w:color="auto"/>
            </w:tcBorders>
            <w:vAlign w:val="center"/>
            <w:hideMark/>
          </w:tcPr>
          <w:p w14:paraId="7B01BCB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0FBEC646" w14:textId="77777777" w:rsidTr="000101C1">
        <w:tc>
          <w:tcPr>
            <w:tcW w:w="0" w:type="auto"/>
            <w:tcBorders>
              <w:bottom w:val="single" w:sz="4" w:space="0" w:color="auto"/>
            </w:tcBorders>
            <w:tcMar>
              <w:top w:w="15" w:type="dxa"/>
              <w:left w:w="0" w:type="dxa"/>
              <w:bottom w:w="15" w:type="dxa"/>
              <w:right w:w="15" w:type="dxa"/>
            </w:tcMar>
            <w:vAlign w:val="center"/>
            <w:hideMark/>
          </w:tcPr>
          <w:p w14:paraId="0F5BF2C0"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57C5D2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Addressing the needs of individuals with disabilities (e.g., blind, deaf)</w:t>
            </w:r>
          </w:p>
        </w:tc>
        <w:tc>
          <w:tcPr>
            <w:tcW w:w="0" w:type="auto"/>
            <w:tcBorders>
              <w:top w:val="single" w:sz="4" w:space="0" w:color="auto"/>
              <w:bottom w:val="single" w:sz="4" w:space="0" w:color="auto"/>
            </w:tcBorders>
            <w:vAlign w:val="center"/>
            <w:hideMark/>
          </w:tcPr>
          <w:p w14:paraId="1F0EA43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Gatoo</w:t>
            </w:r>
            <w:proofErr w:type="spellEnd"/>
            <w:r w:rsidRPr="000101C1">
              <w:rPr>
                <w:rFonts w:asciiTheme="majorBidi" w:hAnsiTheme="majorBidi" w:cstheme="majorBidi"/>
                <w:sz w:val="20"/>
                <w:szCs w:val="20"/>
              </w:rPr>
              <w:t xml:space="preserve"> Jimenez de </w:t>
            </w:r>
            <w:proofErr w:type="spellStart"/>
            <w:r w:rsidRPr="000101C1">
              <w:rPr>
                <w:rFonts w:asciiTheme="majorBidi" w:hAnsiTheme="majorBidi" w:cstheme="majorBidi"/>
                <w:sz w:val="20"/>
                <w:szCs w:val="20"/>
              </w:rPr>
              <w:t>Laiglesia</w:t>
            </w:r>
            <w:proofErr w:type="spellEnd"/>
            <w:r w:rsidRPr="000101C1">
              <w:rPr>
                <w:rFonts w:asciiTheme="majorBidi" w:hAnsiTheme="majorBidi" w:cstheme="majorBidi"/>
                <w:sz w:val="20"/>
                <w:szCs w:val="20"/>
              </w:rPr>
              <w:t xml:space="preserve"> (2023)</w:t>
            </w:r>
          </w:p>
        </w:tc>
      </w:tr>
      <w:tr w:rsidR="000101C1" w:rsidRPr="000101C1" w14:paraId="69290C65" w14:textId="77777777" w:rsidTr="000101C1">
        <w:tc>
          <w:tcPr>
            <w:tcW w:w="0" w:type="auto"/>
            <w:tcBorders>
              <w:top w:val="single" w:sz="4" w:space="0" w:color="auto"/>
            </w:tcBorders>
            <w:tcMar>
              <w:top w:w="15" w:type="dxa"/>
              <w:left w:w="0" w:type="dxa"/>
              <w:bottom w:w="15" w:type="dxa"/>
              <w:right w:w="15" w:type="dxa"/>
            </w:tcMar>
            <w:vAlign w:val="center"/>
            <w:hideMark/>
          </w:tcPr>
          <w:p w14:paraId="24C91B50"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lastRenderedPageBreak/>
              <w:t>Design of Multipurpose and Flexible Spaces</w:t>
            </w:r>
          </w:p>
        </w:tc>
        <w:tc>
          <w:tcPr>
            <w:tcW w:w="0" w:type="auto"/>
            <w:tcBorders>
              <w:top w:val="single" w:sz="4" w:space="0" w:color="auto"/>
              <w:bottom w:val="single" w:sz="4" w:space="0" w:color="auto"/>
            </w:tcBorders>
            <w:vAlign w:val="center"/>
            <w:hideMark/>
          </w:tcPr>
          <w:p w14:paraId="5229822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Variety in appearance for multiple building roles</w:t>
            </w:r>
          </w:p>
        </w:tc>
        <w:tc>
          <w:tcPr>
            <w:tcW w:w="0" w:type="auto"/>
            <w:tcBorders>
              <w:top w:val="single" w:sz="4" w:space="0" w:color="auto"/>
              <w:bottom w:val="single" w:sz="4" w:space="0" w:color="auto"/>
            </w:tcBorders>
            <w:vAlign w:val="center"/>
            <w:hideMark/>
          </w:tcPr>
          <w:p w14:paraId="1D733E48"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7808E233" w14:textId="77777777" w:rsidTr="000101C1">
        <w:tc>
          <w:tcPr>
            <w:tcW w:w="0" w:type="auto"/>
            <w:tcMar>
              <w:top w:w="15" w:type="dxa"/>
              <w:left w:w="0" w:type="dxa"/>
              <w:bottom w:w="15" w:type="dxa"/>
              <w:right w:w="15" w:type="dxa"/>
            </w:tcMar>
            <w:vAlign w:val="center"/>
            <w:hideMark/>
          </w:tcPr>
          <w:p w14:paraId="66CD806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4C3664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Reducing the number of load-bearing walls</w:t>
            </w:r>
          </w:p>
        </w:tc>
        <w:tc>
          <w:tcPr>
            <w:tcW w:w="0" w:type="auto"/>
            <w:tcBorders>
              <w:top w:val="single" w:sz="4" w:space="0" w:color="auto"/>
              <w:bottom w:val="single" w:sz="4" w:space="0" w:color="auto"/>
            </w:tcBorders>
            <w:vAlign w:val="center"/>
            <w:hideMark/>
          </w:tcPr>
          <w:p w14:paraId="0737857E"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Gatoo</w:t>
            </w:r>
            <w:proofErr w:type="spellEnd"/>
            <w:r w:rsidRPr="000101C1">
              <w:rPr>
                <w:rFonts w:asciiTheme="majorBidi" w:hAnsiTheme="majorBidi" w:cstheme="majorBidi"/>
                <w:sz w:val="20"/>
                <w:szCs w:val="20"/>
              </w:rPr>
              <w:t xml:space="preserve"> Jimenez de </w:t>
            </w:r>
            <w:proofErr w:type="spellStart"/>
            <w:r w:rsidRPr="000101C1">
              <w:rPr>
                <w:rFonts w:asciiTheme="majorBidi" w:hAnsiTheme="majorBidi" w:cstheme="majorBidi"/>
                <w:sz w:val="20"/>
                <w:szCs w:val="20"/>
              </w:rPr>
              <w:t>Laiglesia</w:t>
            </w:r>
            <w:proofErr w:type="spellEnd"/>
            <w:r w:rsidRPr="000101C1">
              <w:rPr>
                <w:rFonts w:asciiTheme="majorBidi" w:hAnsiTheme="majorBidi" w:cstheme="majorBidi"/>
                <w:sz w:val="20"/>
                <w:szCs w:val="20"/>
              </w:rPr>
              <w:t xml:space="preserve"> (2023)</w:t>
            </w:r>
          </w:p>
        </w:tc>
      </w:tr>
      <w:tr w:rsidR="000101C1" w:rsidRPr="000101C1" w14:paraId="364E9B2C" w14:textId="77777777" w:rsidTr="000101C1">
        <w:tc>
          <w:tcPr>
            <w:tcW w:w="0" w:type="auto"/>
            <w:tcMar>
              <w:top w:w="15" w:type="dxa"/>
              <w:left w:w="0" w:type="dxa"/>
              <w:bottom w:w="15" w:type="dxa"/>
              <w:right w:w="15" w:type="dxa"/>
            </w:tcMar>
            <w:vAlign w:val="center"/>
            <w:hideMark/>
          </w:tcPr>
          <w:p w14:paraId="07DABDE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DB43F0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perimeter lines inside or outside spaces</w:t>
            </w:r>
          </w:p>
        </w:tc>
        <w:tc>
          <w:tcPr>
            <w:tcW w:w="0" w:type="auto"/>
            <w:tcBorders>
              <w:top w:val="single" w:sz="4" w:space="0" w:color="auto"/>
              <w:bottom w:val="single" w:sz="4" w:space="0" w:color="auto"/>
            </w:tcBorders>
            <w:vAlign w:val="center"/>
            <w:hideMark/>
          </w:tcPr>
          <w:p w14:paraId="36E2CFE7"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23D2D3D5" w14:textId="77777777" w:rsidTr="000101C1">
        <w:tc>
          <w:tcPr>
            <w:tcW w:w="0" w:type="auto"/>
            <w:tcMar>
              <w:top w:w="15" w:type="dxa"/>
              <w:left w:w="0" w:type="dxa"/>
              <w:bottom w:w="15" w:type="dxa"/>
              <w:right w:w="15" w:type="dxa"/>
            </w:tcMar>
            <w:vAlign w:val="center"/>
            <w:hideMark/>
          </w:tcPr>
          <w:p w14:paraId="00A3C10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531CFF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Creating spaces with height and plan integration principles</w:t>
            </w:r>
          </w:p>
        </w:tc>
        <w:tc>
          <w:tcPr>
            <w:tcW w:w="0" w:type="auto"/>
            <w:tcBorders>
              <w:top w:val="single" w:sz="4" w:space="0" w:color="auto"/>
              <w:bottom w:val="single" w:sz="4" w:space="0" w:color="auto"/>
            </w:tcBorders>
            <w:vAlign w:val="center"/>
            <w:hideMark/>
          </w:tcPr>
          <w:p w14:paraId="0302F738"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Muthigani</w:t>
            </w:r>
            <w:proofErr w:type="spellEnd"/>
            <w:r w:rsidRPr="000101C1">
              <w:rPr>
                <w:rFonts w:asciiTheme="majorBidi" w:hAnsiTheme="majorBidi" w:cstheme="majorBidi"/>
                <w:sz w:val="20"/>
                <w:szCs w:val="20"/>
              </w:rPr>
              <w:t xml:space="preserve"> (2024)</w:t>
            </w:r>
          </w:p>
        </w:tc>
      </w:tr>
      <w:tr w:rsidR="000101C1" w:rsidRPr="000101C1" w14:paraId="3D6FD220" w14:textId="77777777" w:rsidTr="000101C1">
        <w:tc>
          <w:tcPr>
            <w:tcW w:w="0" w:type="auto"/>
            <w:tcBorders>
              <w:bottom w:val="single" w:sz="4" w:space="0" w:color="auto"/>
            </w:tcBorders>
            <w:tcMar>
              <w:top w:w="15" w:type="dxa"/>
              <w:left w:w="0" w:type="dxa"/>
              <w:bottom w:w="15" w:type="dxa"/>
              <w:right w:w="15" w:type="dxa"/>
            </w:tcMar>
            <w:vAlign w:val="center"/>
            <w:hideMark/>
          </w:tcPr>
          <w:p w14:paraId="6A15623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165CA4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functions</w:t>
            </w:r>
          </w:p>
        </w:tc>
        <w:tc>
          <w:tcPr>
            <w:tcW w:w="0" w:type="auto"/>
            <w:tcBorders>
              <w:top w:val="single" w:sz="4" w:space="0" w:color="auto"/>
              <w:bottom w:val="single" w:sz="4" w:space="0" w:color="auto"/>
            </w:tcBorders>
            <w:vAlign w:val="center"/>
            <w:hideMark/>
          </w:tcPr>
          <w:p w14:paraId="490E1CB3"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Zapaśnik</w:t>
            </w:r>
            <w:proofErr w:type="spellEnd"/>
            <w:r w:rsidRPr="000101C1">
              <w:rPr>
                <w:rFonts w:asciiTheme="majorBidi" w:hAnsiTheme="majorBidi" w:cstheme="majorBidi"/>
                <w:sz w:val="20"/>
                <w:szCs w:val="20"/>
              </w:rPr>
              <w:t xml:space="preserve"> (2024)</w:t>
            </w:r>
          </w:p>
        </w:tc>
      </w:tr>
      <w:tr w:rsidR="000101C1" w:rsidRPr="000101C1" w14:paraId="4F19F6BB" w14:textId="77777777" w:rsidTr="000101C1">
        <w:tc>
          <w:tcPr>
            <w:tcW w:w="0" w:type="auto"/>
            <w:tcBorders>
              <w:top w:val="single" w:sz="4" w:space="0" w:color="auto"/>
            </w:tcBorders>
            <w:tcMar>
              <w:top w:w="15" w:type="dxa"/>
              <w:left w:w="0" w:type="dxa"/>
              <w:bottom w:w="15" w:type="dxa"/>
              <w:right w:w="15" w:type="dxa"/>
            </w:tcMar>
            <w:vAlign w:val="center"/>
            <w:hideMark/>
          </w:tcPr>
          <w:p w14:paraId="05DCD9F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Reduction of Construction Waste and Waste Management</w:t>
            </w:r>
          </w:p>
        </w:tc>
        <w:tc>
          <w:tcPr>
            <w:tcW w:w="0" w:type="auto"/>
            <w:tcBorders>
              <w:top w:val="single" w:sz="4" w:space="0" w:color="auto"/>
              <w:bottom w:val="single" w:sz="4" w:space="0" w:color="auto"/>
            </w:tcBorders>
            <w:vAlign w:val="center"/>
            <w:hideMark/>
          </w:tcPr>
          <w:p w14:paraId="04A27F0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Compatibility with various materials</w:t>
            </w:r>
          </w:p>
        </w:tc>
        <w:tc>
          <w:tcPr>
            <w:tcW w:w="0" w:type="auto"/>
            <w:tcBorders>
              <w:top w:val="single" w:sz="4" w:space="0" w:color="auto"/>
              <w:bottom w:val="single" w:sz="4" w:space="0" w:color="auto"/>
            </w:tcBorders>
            <w:vAlign w:val="center"/>
            <w:hideMark/>
          </w:tcPr>
          <w:p w14:paraId="68EFB5A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Dourado</w:t>
            </w:r>
            <w:proofErr w:type="spellEnd"/>
            <w:r w:rsidRPr="000101C1">
              <w:rPr>
                <w:rFonts w:asciiTheme="majorBidi" w:hAnsiTheme="majorBidi" w:cstheme="majorBidi"/>
                <w:sz w:val="20"/>
                <w:szCs w:val="20"/>
              </w:rPr>
              <w:t xml:space="preserve"> et al. (2024)</w:t>
            </w:r>
          </w:p>
        </w:tc>
      </w:tr>
      <w:tr w:rsidR="000101C1" w:rsidRPr="000101C1" w14:paraId="26E2AE3D" w14:textId="77777777" w:rsidTr="000101C1">
        <w:tc>
          <w:tcPr>
            <w:tcW w:w="0" w:type="auto"/>
            <w:tcMar>
              <w:top w:w="15" w:type="dxa"/>
              <w:left w:w="0" w:type="dxa"/>
              <w:bottom w:w="15" w:type="dxa"/>
              <w:right w:w="15" w:type="dxa"/>
            </w:tcMar>
            <w:vAlign w:val="center"/>
            <w:hideMark/>
          </w:tcPr>
          <w:p w14:paraId="321B3CF3"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9FE080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Determining unit size based on customer needs</w:t>
            </w:r>
          </w:p>
        </w:tc>
        <w:tc>
          <w:tcPr>
            <w:tcW w:w="0" w:type="auto"/>
            <w:tcBorders>
              <w:top w:val="single" w:sz="4" w:space="0" w:color="auto"/>
              <w:bottom w:val="single" w:sz="4" w:space="0" w:color="auto"/>
            </w:tcBorders>
            <w:vAlign w:val="center"/>
            <w:hideMark/>
          </w:tcPr>
          <w:p w14:paraId="0186AE8B"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Nurmawati</w:t>
            </w:r>
            <w:proofErr w:type="spellEnd"/>
            <w:r w:rsidRPr="000101C1">
              <w:rPr>
                <w:rFonts w:asciiTheme="majorBidi" w:hAnsiTheme="majorBidi" w:cstheme="majorBidi"/>
                <w:sz w:val="20"/>
                <w:szCs w:val="20"/>
              </w:rPr>
              <w:t xml:space="preserve"> et al. (2023)</w:t>
            </w:r>
          </w:p>
        </w:tc>
      </w:tr>
      <w:tr w:rsidR="000101C1" w:rsidRPr="000101C1" w14:paraId="5CC9D8A5" w14:textId="77777777" w:rsidTr="000101C1">
        <w:tc>
          <w:tcPr>
            <w:tcW w:w="0" w:type="auto"/>
            <w:tcMar>
              <w:top w:w="15" w:type="dxa"/>
              <w:left w:w="0" w:type="dxa"/>
              <w:bottom w:w="15" w:type="dxa"/>
              <w:right w:w="15" w:type="dxa"/>
            </w:tcMar>
            <w:vAlign w:val="center"/>
            <w:hideMark/>
          </w:tcPr>
          <w:p w14:paraId="6143264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820B8D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Main structure meeting structural requirements</w:t>
            </w:r>
          </w:p>
        </w:tc>
        <w:tc>
          <w:tcPr>
            <w:tcW w:w="0" w:type="auto"/>
            <w:tcBorders>
              <w:top w:val="single" w:sz="4" w:space="0" w:color="auto"/>
              <w:bottom w:val="single" w:sz="4" w:space="0" w:color="auto"/>
            </w:tcBorders>
            <w:vAlign w:val="center"/>
            <w:hideMark/>
          </w:tcPr>
          <w:p w14:paraId="4A5FEB11"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5A6F2DA4" w14:textId="77777777" w:rsidTr="000101C1">
        <w:tc>
          <w:tcPr>
            <w:tcW w:w="0" w:type="auto"/>
            <w:tcBorders>
              <w:bottom w:val="single" w:sz="4" w:space="0" w:color="auto"/>
            </w:tcBorders>
            <w:tcMar>
              <w:top w:w="15" w:type="dxa"/>
              <w:left w:w="0" w:type="dxa"/>
              <w:bottom w:w="15" w:type="dxa"/>
              <w:right w:w="15" w:type="dxa"/>
            </w:tcMar>
            <w:vAlign w:val="center"/>
            <w:hideMark/>
          </w:tcPr>
          <w:p w14:paraId="46891A3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4C0905F"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Increased user participation in design and construction processes</w:t>
            </w:r>
          </w:p>
        </w:tc>
        <w:tc>
          <w:tcPr>
            <w:tcW w:w="0" w:type="auto"/>
            <w:tcBorders>
              <w:top w:val="single" w:sz="4" w:space="0" w:color="auto"/>
              <w:bottom w:val="single" w:sz="4" w:space="0" w:color="auto"/>
            </w:tcBorders>
            <w:vAlign w:val="center"/>
            <w:hideMark/>
          </w:tcPr>
          <w:p w14:paraId="3A6F49CE"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Nurmawati</w:t>
            </w:r>
            <w:proofErr w:type="spellEnd"/>
            <w:r w:rsidRPr="000101C1">
              <w:rPr>
                <w:rFonts w:asciiTheme="majorBidi" w:hAnsiTheme="majorBidi" w:cstheme="majorBidi"/>
                <w:sz w:val="20"/>
                <w:szCs w:val="20"/>
              </w:rPr>
              <w:t xml:space="preserve"> et al. (2023)</w:t>
            </w:r>
          </w:p>
        </w:tc>
      </w:tr>
      <w:tr w:rsidR="000101C1" w:rsidRPr="000101C1" w14:paraId="70A51AD7" w14:textId="77777777" w:rsidTr="000101C1">
        <w:tc>
          <w:tcPr>
            <w:tcW w:w="0" w:type="auto"/>
            <w:tcBorders>
              <w:top w:val="single" w:sz="4" w:space="0" w:color="auto"/>
            </w:tcBorders>
            <w:tcMar>
              <w:top w:w="15" w:type="dxa"/>
              <w:left w:w="0" w:type="dxa"/>
              <w:bottom w:w="15" w:type="dxa"/>
              <w:right w:w="15" w:type="dxa"/>
            </w:tcMar>
            <w:vAlign w:val="center"/>
            <w:hideMark/>
          </w:tcPr>
          <w:p w14:paraId="7636C331"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Optimization of Energy Costs and Ventilation Systems</w:t>
            </w:r>
          </w:p>
        </w:tc>
        <w:tc>
          <w:tcPr>
            <w:tcW w:w="0" w:type="auto"/>
            <w:tcBorders>
              <w:top w:val="single" w:sz="4" w:space="0" w:color="auto"/>
              <w:bottom w:val="single" w:sz="4" w:space="0" w:color="auto"/>
            </w:tcBorders>
            <w:vAlign w:val="center"/>
            <w:hideMark/>
          </w:tcPr>
          <w:p w14:paraId="2DEB2E1B"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Ease of modification for any family type</w:t>
            </w:r>
          </w:p>
        </w:tc>
        <w:tc>
          <w:tcPr>
            <w:tcW w:w="0" w:type="auto"/>
            <w:tcBorders>
              <w:top w:val="single" w:sz="4" w:space="0" w:color="auto"/>
              <w:bottom w:val="single" w:sz="4" w:space="0" w:color="auto"/>
            </w:tcBorders>
            <w:vAlign w:val="center"/>
            <w:hideMark/>
          </w:tcPr>
          <w:p w14:paraId="32548CAA"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Dourado</w:t>
            </w:r>
            <w:proofErr w:type="spellEnd"/>
            <w:r w:rsidRPr="000101C1">
              <w:rPr>
                <w:rFonts w:asciiTheme="majorBidi" w:hAnsiTheme="majorBidi" w:cstheme="majorBidi"/>
                <w:sz w:val="20"/>
                <w:szCs w:val="20"/>
              </w:rPr>
              <w:t xml:space="preserve"> et al. (2024)</w:t>
            </w:r>
          </w:p>
        </w:tc>
      </w:tr>
      <w:tr w:rsidR="000101C1" w:rsidRPr="000101C1" w14:paraId="67341A49" w14:textId="77777777" w:rsidTr="000101C1">
        <w:tc>
          <w:tcPr>
            <w:tcW w:w="0" w:type="auto"/>
            <w:tcMar>
              <w:top w:w="15" w:type="dxa"/>
              <w:left w:w="0" w:type="dxa"/>
              <w:bottom w:w="15" w:type="dxa"/>
              <w:right w:w="15" w:type="dxa"/>
            </w:tcMar>
            <w:vAlign w:val="center"/>
            <w:hideMark/>
          </w:tcPr>
          <w:p w14:paraId="0903961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9A14D5D"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Increased user participation in design and construction processes</w:t>
            </w:r>
          </w:p>
        </w:tc>
        <w:tc>
          <w:tcPr>
            <w:tcW w:w="0" w:type="auto"/>
            <w:tcBorders>
              <w:top w:val="single" w:sz="4" w:space="0" w:color="auto"/>
              <w:bottom w:val="single" w:sz="4" w:space="0" w:color="auto"/>
            </w:tcBorders>
            <w:vAlign w:val="center"/>
            <w:hideMark/>
          </w:tcPr>
          <w:p w14:paraId="6C21C94A"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Muthigani</w:t>
            </w:r>
            <w:proofErr w:type="spellEnd"/>
            <w:r w:rsidRPr="000101C1">
              <w:rPr>
                <w:rFonts w:asciiTheme="majorBidi" w:hAnsiTheme="majorBidi" w:cstheme="majorBidi"/>
                <w:sz w:val="20"/>
                <w:szCs w:val="20"/>
              </w:rPr>
              <w:t xml:space="preserve"> (2024)</w:t>
            </w:r>
          </w:p>
        </w:tc>
      </w:tr>
      <w:tr w:rsidR="000101C1" w:rsidRPr="000101C1" w14:paraId="5B243601" w14:textId="77777777" w:rsidTr="000101C1">
        <w:tc>
          <w:tcPr>
            <w:tcW w:w="0" w:type="auto"/>
            <w:tcMar>
              <w:top w:w="15" w:type="dxa"/>
              <w:left w:w="0" w:type="dxa"/>
              <w:bottom w:w="15" w:type="dxa"/>
              <w:right w:w="15" w:type="dxa"/>
            </w:tcMar>
            <w:vAlign w:val="center"/>
            <w:hideMark/>
          </w:tcPr>
          <w:p w14:paraId="54E14CD8"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24DCAA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user intervention points and allowing freedom in them</w:t>
            </w:r>
          </w:p>
        </w:tc>
        <w:tc>
          <w:tcPr>
            <w:tcW w:w="0" w:type="auto"/>
            <w:tcBorders>
              <w:top w:val="single" w:sz="4" w:space="0" w:color="auto"/>
              <w:bottom w:val="single" w:sz="4" w:space="0" w:color="auto"/>
            </w:tcBorders>
            <w:vAlign w:val="center"/>
            <w:hideMark/>
          </w:tcPr>
          <w:p w14:paraId="5D63DD0D"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3D83201C" w14:textId="77777777" w:rsidTr="000101C1">
        <w:tc>
          <w:tcPr>
            <w:tcW w:w="0" w:type="auto"/>
            <w:tcBorders>
              <w:bottom w:val="single" w:sz="4" w:space="0" w:color="auto"/>
            </w:tcBorders>
            <w:tcMar>
              <w:top w:w="15" w:type="dxa"/>
              <w:left w:w="0" w:type="dxa"/>
              <w:bottom w:w="15" w:type="dxa"/>
              <w:right w:w="15" w:type="dxa"/>
            </w:tcMar>
            <w:vAlign w:val="center"/>
            <w:hideMark/>
          </w:tcPr>
          <w:p w14:paraId="1738AEF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49DE59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comfort factors for residents</w:t>
            </w:r>
          </w:p>
        </w:tc>
        <w:tc>
          <w:tcPr>
            <w:tcW w:w="0" w:type="auto"/>
            <w:tcBorders>
              <w:top w:val="single" w:sz="4" w:space="0" w:color="auto"/>
              <w:bottom w:val="single" w:sz="4" w:space="0" w:color="auto"/>
            </w:tcBorders>
            <w:vAlign w:val="center"/>
            <w:hideMark/>
          </w:tcPr>
          <w:p w14:paraId="687DCF35"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Nurmawati</w:t>
            </w:r>
            <w:proofErr w:type="spellEnd"/>
            <w:r w:rsidRPr="000101C1">
              <w:rPr>
                <w:rFonts w:asciiTheme="majorBidi" w:hAnsiTheme="majorBidi" w:cstheme="majorBidi"/>
                <w:sz w:val="20"/>
                <w:szCs w:val="20"/>
              </w:rPr>
              <w:t xml:space="preserve"> et al. (2023)</w:t>
            </w:r>
          </w:p>
        </w:tc>
      </w:tr>
      <w:tr w:rsidR="000101C1" w:rsidRPr="000101C1" w14:paraId="5CBF59F7" w14:textId="77777777" w:rsidTr="000101C1">
        <w:tc>
          <w:tcPr>
            <w:tcW w:w="0" w:type="auto"/>
            <w:tcBorders>
              <w:top w:val="single" w:sz="4" w:space="0" w:color="auto"/>
            </w:tcBorders>
            <w:tcMar>
              <w:top w:w="15" w:type="dxa"/>
              <w:left w:w="0" w:type="dxa"/>
              <w:bottom w:w="15" w:type="dxa"/>
              <w:right w:w="15" w:type="dxa"/>
            </w:tcMar>
            <w:vAlign w:val="center"/>
            <w:hideMark/>
          </w:tcPr>
          <w:p w14:paraId="6A73B5A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Provision of Natural Light and Optimal Use of Sunlight</w:t>
            </w:r>
          </w:p>
        </w:tc>
        <w:tc>
          <w:tcPr>
            <w:tcW w:w="0" w:type="auto"/>
            <w:tcBorders>
              <w:top w:val="single" w:sz="4" w:space="0" w:color="auto"/>
              <w:bottom w:val="single" w:sz="4" w:space="0" w:color="auto"/>
            </w:tcBorders>
            <w:vAlign w:val="center"/>
            <w:hideMark/>
          </w:tcPr>
          <w:p w14:paraId="740D901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user intervention points and allowing freedom in them</w:t>
            </w:r>
          </w:p>
        </w:tc>
        <w:tc>
          <w:tcPr>
            <w:tcW w:w="0" w:type="auto"/>
            <w:tcBorders>
              <w:top w:val="single" w:sz="4" w:space="0" w:color="auto"/>
              <w:bottom w:val="single" w:sz="4" w:space="0" w:color="auto"/>
            </w:tcBorders>
            <w:vAlign w:val="center"/>
            <w:hideMark/>
          </w:tcPr>
          <w:p w14:paraId="475D2E20"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Gatoo</w:t>
            </w:r>
            <w:proofErr w:type="spellEnd"/>
            <w:r w:rsidRPr="000101C1">
              <w:rPr>
                <w:rFonts w:asciiTheme="majorBidi" w:hAnsiTheme="majorBidi" w:cstheme="majorBidi"/>
                <w:sz w:val="20"/>
                <w:szCs w:val="20"/>
              </w:rPr>
              <w:t xml:space="preserve"> Jimenez de </w:t>
            </w:r>
            <w:proofErr w:type="spellStart"/>
            <w:r w:rsidRPr="000101C1">
              <w:rPr>
                <w:rFonts w:asciiTheme="majorBidi" w:hAnsiTheme="majorBidi" w:cstheme="majorBidi"/>
                <w:sz w:val="20"/>
                <w:szCs w:val="20"/>
              </w:rPr>
              <w:t>Laiglesia</w:t>
            </w:r>
            <w:proofErr w:type="spellEnd"/>
            <w:r w:rsidRPr="000101C1">
              <w:rPr>
                <w:rFonts w:asciiTheme="majorBidi" w:hAnsiTheme="majorBidi" w:cstheme="majorBidi"/>
                <w:sz w:val="20"/>
                <w:szCs w:val="20"/>
              </w:rPr>
              <w:t xml:space="preserve"> (2023)</w:t>
            </w:r>
          </w:p>
        </w:tc>
      </w:tr>
      <w:tr w:rsidR="000101C1" w:rsidRPr="000101C1" w14:paraId="242A0879" w14:textId="77777777" w:rsidTr="000101C1">
        <w:tc>
          <w:tcPr>
            <w:tcW w:w="0" w:type="auto"/>
            <w:tcMar>
              <w:top w:w="15" w:type="dxa"/>
              <w:left w:w="0" w:type="dxa"/>
              <w:bottom w:w="15" w:type="dxa"/>
              <w:right w:w="15" w:type="dxa"/>
            </w:tcMar>
            <w:vAlign w:val="center"/>
            <w:hideMark/>
          </w:tcPr>
          <w:p w14:paraId="33EB387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1E2F27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Anticipating potential spaces for customer participation</w:t>
            </w:r>
          </w:p>
        </w:tc>
        <w:tc>
          <w:tcPr>
            <w:tcW w:w="0" w:type="auto"/>
            <w:tcBorders>
              <w:top w:val="single" w:sz="4" w:space="0" w:color="auto"/>
              <w:bottom w:val="single" w:sz="4" w:space="0" w:color="auto"/>
            </w:tcBorders>
            <w:vAlign w:val="center"/>
            <w:hideMark/>
          </w:tcPr>
          <w:p w14:paraId="5A7DB8DE"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Nurmawati</w:t>
            </w:r>
            <w:proofErr w:type="spellEnd"/>
            <w:r w:rsidRPr="000101C1">
              <w:rPr>
                <w:rFonts w:asciiTheme="majorBidi" w:hAnsiTheme="majorBidi" w:cstheme="majorBidi"/>
                <w:sz w:val="20"/>
                <w:szCs w:val="20"/>
              </w:rPr>
              <w:t xml:space="preserve"> et al. (2023)</w:t>
            </w:r>
          </w:p>
        </w:tc>
      </w:tr>
      <w:tr w:rsidR="000101C1" w:rsidRPr="000101C1" w14:paraId="05AF9E42" w14:textId="77777777" w:rsidTr="000101C1">
        <w:tc>
          <w:tcPr>
            <w:tcW w:w="0" w:type="auto"/>
            <w:tcBorders>
              <w:bottom w:val="single" w:sz="4" w:space="0" w:color="auto"/>
            </w:tcBorders>
            <w:tcMar>
              <w:top w:w="15" w:type="dxa"/>
              <w:left w:w="0" w:type="dxa"/>
              <w:bottom w:w="15" w:type="dxa"/>
              <w:right w:w="15" w:type="dxa"/>
            </w:tcMar>
            <w:vAlign w:val="center"/>
            <w:hideMark/>
          </w:tcPr>
          <w:p w14:paraId="7B93CC0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007A3C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Improving quality and living standards for residents</w:t>
            </w:r>
          </w:p>
        </w:tc>
        <w:tc>
          <w:tcPr>
            <w:tcW w:w="0" w:type="auto"/>
            <w:tcBorders>
              <w:top w:val="single" w:sz="4" w:space="0" w:color="auto"/>
              <w:bottom w:val="single" w:sz="4" w:space="0" w:color="auto"/>
            </w:tcBorders>
            <w:vAlign w:val="center"/>
            <w:hideMark/>
          </w:tcPr>
          <w:p w14:paraId="7022E4C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Kim (2023)</w:t>
            </w:r>
          </w:p>
        </w:tc>
      </w:tr>
      <w:tr w:rsidR="000101C1" w:rsidRPr="000101C1" w14:paraId="12481AFF" w14:textId="77777777" w:rsidTr="000101C1">
        <w:tc>
          <w:tcPr>
            <w:tcW w:w="0" w:type="auto"/>
            <w:tcBorders>
              <w:top w:val="single" w:sz="4" w:space="0" w:color="auto"/>
            </w:tcBorders>
            <w:tcMar>
              <w:top w:w="15" w:type="dxa"/>
              <w:left w:w="0" w:type="dxa"/>
              <w:bottom w:w="15" w:type="dxa"/>
              <w:right w:w="15" w:type="dxa"/>
            </w:tcMar>
            <w:vAlign w:val="center"/>
            <w:hideMark/>
          </w:tcPr>
          <w:p w14:paraId="3D56F61C"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Reduction of Dependence on Human Labor</w:t>
            </w:r>
          </w:p>
        </w:tc>
        <w:tc>
          <w:tcPr>
            <w:tcW w:w="0" w:type="auto"/>
            <w:tcBorders>
              <w:top w:val="single" w:sz="4" w:space="0" w:color="auto"/>
              <w:bottom w:val="single" w:sz="4" w:space="0" w:color="auto"/>
            </w:tcBorders>
            <w:vAlign w:val="center"/>
            <w:hideMark/>
          </w:tcPr>
          <w:p w14:paraId="4C2C697C"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Dimensional standardization</w:t>
            </w:r>
          </w:p>
        </w:tc>
        <w:tc>
          <w:tcPr>
            <w:tcW w:w="0" w:type="auto"/>
            <w:tcBorders>
              <w:top w:val="single" w:sz="4" w:space="0" w:color="auto"/>
              <w:bottom w:val="single" w:sz="4" w:space="0" w:color="auto"/>
            </w:tcBorders>
            <w:vAlign w:val="center"/>
            <w:hideMark/>
          </w:tcPr>
          <w:p w14:paraId="5ED7A7A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4C499175" w14:textId="77777777" w:rsidTr="000101C1">
        <w:tc>
          <w:tcPr>
            <w:tcW w:w="0" w:type="auto"/>
            <w:tcMar>
              <w:top w:w="15" w:type="dxa"/>
              <w:left w:w="0" w:type="dxa"/>
              <w:bottom w:w="15" w:type="dxa"/>
              <w:right w:w="15" w:type="dxa"/>
            </w:tcMar>
            <w:vAlign w:val="center"/>
            <w:hideMark/>
          </w:tcPr>
          <w:p w14:paraId="7340743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AB82C9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functions</w:t>
            </w:r>
          </w:p>
        </w:tc>
        <w:tc>
          <w:tcPr>
            <w:tcW w:w="0" w:type="auto"/>
            <w:tcBorders>
              <w:top w:val="single" w:sz="4" w:space="0" w:color="auto"/>
              <w:bottom w:val="single" w:sz="4" w:space="0" w:color="auto"/>
            </w:tcBorders>
            <w:vAlign w:val="center"/>
            <w:hideMark/>
          </w:tcPr>
          <w:p w14:paraId="56927970"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Dourado</w:t>
            </w:r>
            <w:proofErr w:type="spellEnd"/>
            <w:r w:rsidRPr="000101C1">
              <w:rPr>
                <w:rFonts w:asciiTheme="majorBidi" w:hAnsiTheme="majorBidi" w:cstheme="majorBidi"/>
                <w:sz w:val="20"/>
                <w:szCs w:val="20"/>
              </w:rPr>
              <w:t xml:space="preserve"> et al. (2024), P2, P5</w:t>
            </w:r>
          </w:p>
        </w:tc>
      </w:tr>
      <w:tr w:rsidR="000101C1" w:rsidRPr="000101C1" w14:paraId="47DC3006" w14:textId="77777777" w:rsidTr="000101C1">
        <w:tc>
          <w:tcPr>
            <w:tcW w:w="0" w:type="auto"/>
            <w:tcMar>
              <w:top w:w="15" w:type="dxa"/>
              <w:left w:w="0" w:type="dxa"/>
              <w:bottom w:w="15" w:type="dxa"/>
              <w:right w:w="15" w:type="dxa"/>
            </w:tcMar>
            <w:vAlign w:val="center"/>
            <w:hideMark/>
          </w:tcPr>
          <w:p w14:paraId="3D5E1231"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CECAFBA"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Standardization of elements</w:t>
            </w:r>
          </w:p>
        </w:tc>
        <w:tc>
          <w:tcPr>
            <w:tcW w:w="0" w:type="auto"/>
            <w:tcBorders>
              <w:top w:val="single" w:sz="4" w:space="0" w:color="auto"/>
              <w:bottom w:val="single" w:sz="4" w:space="0" w:color="auto"/>
            </w:tcBorders>
            <w:vAlign w:val="center"/>
            <w:hideMark/>
          </w:tcPr>
          <w:p w14:paraId="7F1E48C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Muthigani</w:t>
            </w:r>
            <w:proofErr w:type="spellEnd"/>
            <w:r w:rsidRPr="000101C1">
              <w:rPr>
                <w:rFonts w:asciiTheme="majorBidi" w:hAnsiTheme="majorBidi" w:cstheme="majorBidi"/>
                <w:sz w:val="20"/>
                <w:szCs w:val="20"/>
              </w:rPr>
              <w:t xml:space="preserve"> (2024)</w:t>
            </w:r>
          </w:p>
        </w:tc>
      </w:tr>
      <w:tr w:rsidR="000101C1" w:rsidRPr="000101C1" w14:paraId="584FE31B" w14:textId="77777777" w:rsidTr="000101C1">
        <w:tc>
          <w:tcPr>
            <w:tcW w:w="0" w:type="auto"/>
            <w:tcMar>
              <w:top w:w="15" w:type="dxa"/>
              <w:left w:w="0" w:type="dxa"/>
              <w:bottom w:w="15" w:type="dxa"/>
              <w:right w:w="15" w:type="dxa"/>
            </w:tcMar>
            <w:vAlign w:val="center"/>
            <w:hideMark/>
          </w:tcPr>
          <w:p w14:paraId="652B35B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5B877A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Plans for partitioning spaces for combined uses</w:t>
            </w:r>
          </w:p>
        </w:tc>
        <w:tc>
          <w:tcPr>
            <w:tcW w:w="0" w:type="auto"/>
            <w:tcBorders>
              <w:top w:val="single" w:sz="4" w:space="0" w:color="auto"/>
              <w:bottom w:val="single" w:sz="4" w:space="0" w:color="auto"/>
            </w:tcBorders>
            <w:vAlign w:val="center"/>
            <w:hideMark/>
          </w:tcPr>
          <w:p w14:paraId="50D3617D"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1273FEFA" w14:textId="77777777" w:rsidTr="000101C1">
        <w:tc>
          <w:tcPr>
            <w:tcW w:w="0" w:type="auto"/>
            <w:tcMar>
              <w:top w:w="15" w:type="dxa"/>
              <w:left w:w="0" w:type="dxa"/>
              <w:bottom w:w="15" w:type="dxa"/>
              <w:right w:w="15" w:type="dxa"/>
            </w:tcMar>
            <w:vAlign w:val="center"/>
            <w:hideMark/>
          </w:tcPr>
          <w:p w14:paraId="0BC875D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45CF28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1CD0D47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Kim (2023)</w:t>
            </w:r>
          </w:p>
        </w:tc>
      </w:tr>
      <w:tr w:rsidR="000101C1" w:rsidRPr="000101C1" w14:paraId="1389F730" w14:textId="77777777" w:rsidTr="000101C1">
        <w:tc>
          <w:tcPr>
            <w:tcW w:w="0" w:type="auto"/>
            <w:tcBorders>
              <w:bottom w:val="single" w:sz="4" w:space="0" w:color="auto"/>
            </w:tcBorders>
            <w:tcMar>
              <w:top w:w="15" w:type="dxa"/>
              <w:left w:w="0" w:type="dxa"/>
              <w:bottom w:w="15" w:type="dxa"/>
              <w:right w:w="15" w:type="dxa"/>
            </w:tcMar>
            <w:vAlign w:val="center"/>
            <w:hideMark/>
          </w:tcPr>
          <w:p w14:paraId="0709683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EEF734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Addressing the needs of individuals with disabilities (e.g., blind, deaf)</w:t>
            </w:r>
          </w:p>
        </w:tc>
        <w:tc>
          <w:tcPr>
            <w:tcW w:w="0" w:type="auto"/>
            <w:tcBorders>
              <w:top w:val="single" w:sz="4" w:space="0" w:color="auto"/>
              <w:bottom w:val="single" w:sz="4" w:space="0" w:color="auto"/>
            </w:tcBorders>
            <w:vAlign w:val="center"/>
            <w:hideMark/>
          </w:tcPr>
          <w:p w14:paraId="1325285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 P4, P5</w:t>
            </w:r>
          </w:p>
        </w:tc>
      </w:tr>
      <w:tr w:rsidR="000101C1" w:rsidRPr="000101C1" w14:paraId="7EC0E3F1" w14:textId="77777777" w:rsidTr="000101C1">
        <w:tc>
          <w:tcPr>
            <w:tcW w:w="0" w:type="auto"/>
            <w:tcBorders>
              <w:top w:val="single" w:sz="4" w:space="0" w:color="auto"/>
            </w:tcBorders>
            <w:tcMar>
              <w:top w:w="15" w:type="dxa"/>
              <w:left w:w="0" w:type="dxa"/>
              <w:bottom w:w="15" w:type="dxa"/>
              <w:right w:w="15" w:type="dxa"/>
            </w:tcMar>
            <w:vAlign w:val="center"/>
            <w:hideMark/>
          </w:tcPr>
          <w:p w14:paraId="2EDCB4E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Future-Oriented Design and Expandability</w:t>
            </w:r>
          </w:p>
        </w:tc>
        <w:tc>
          <w:tcPr>
            <w:tcW w:w="0" w:type="auto"/>
            <w:tcBorders>
              <w:top w:val="single" w:sz="4" w:space="0" w:color="auto"/>
              <w:bottom w:val="single" w:sz="4" w:space="0" w:color="auto"/>
            </w:tcBorders>
            <w:vAlign w:val="center"/>
            <w:hideMark/>
          </w:tcPr>
          <w:p w14:paraId="6414817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Reducing the number of load-bearing walls</w:t>
            </w:r>
          </w:p>
        </w:tc>
        <w:tc>
          <w:tcPr>
            <w:tcW w:w="0" w:type="auto"/>
            <w:tcBorders>
              <w:top w:val="single" w:sz="4" w:space="0" w:color="auto"/>
              <w:bottom w:val="single" w:sz="4" w:space="0" w:color="auto"/>
            </w:tcBorders>
            <w:vAlign w:val="center"/>
            <w:hideMark/>
          </w:tcPr>
          <w:p w14:paraId="01B7AEF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Wilson et al. (2024)</w:t>
            </w:r>
          </w:p>
        </w:tc>
      </w:tr>
      <w:tr w:rsidR="000101C1" w:rsidRPr="000101C1" w14:paraId="0DF8A082" w14:textId="77777777" w:rsidTr="000101C1">
        <w:tc>
          <w:tcPr>
            <w:tcW w:w="0" w:type="auto"/>
            <w:tcMar>
              <w:top w:w="15" w:type="dxa"/>
              <w:left w:w="0" w:type="dxa"/>
              <w:bottom w:w="15" w:type="dxa"/>
              <w:right w:w="15" w:type="dxa"/>
            </w:tcMar>
            <w:vAlign w:val="center"/>
            <w:hideMark/>
          </w:tcPr>
          <w:p w14:paraId="48F5920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FF11D7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Activity zoning to ensure space independence while maintaining connectivity</w:t>
            </w:r>
          </w:p>
        </w:tc>
        <w:tc>
          <w:tcPr>
            <w:tcW w:w="0" w:type="auto"/>
            <w:tcBorders>
              <w:top w:val="single" w:sz="4" w:space="0" w:color="auto"/>
              <w:bottom w:val="single" w:sz="4" w:space="0" w:color="auto"/>
            </w:tcBorders>
            <w:vAlign w:val="center"/>
            <w:hideMark/>
          </w:tcPr>
          <w:p w14:paraId="300369A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Kim (2023), P1, P2</w:t>
            </w:r>
          </w:p>
        </w:tc>
      </w:tr>
      <w:tr w:rsidR="000101C1" w:rsidRPr="000101C1" w14:paraId="742B0E6C" w14:textId="77777777" w:rsidTr="000101C1">
        <w:tc>
          <w:tcPr>
            <w:tcW w:w="0" w:type="auto"/>
            <w:tcMar>
              <w:top w:w="15" w:type="dxa"/>
              <w:left w:w="0" w:type="dxa"/>
              <w:bottom w:w="15" w:type="dxa"/>
              <w:right w:w="15" w:type="dxa"/>
            </w:tcMar>
            <w:vAlign w:val="center"/>
            <w:hideMark/>
          </w:tcPr>
          <w:p w14:paraId="16324C3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2A3455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BIM for structural, architectural, and MEP integration (virtual design and construction)</w:t>
            </w:r>
          </w:p>
        </w:tc>
        <w:tc>
          <w:tcPr>
            <w:tcW w:w="0" w:type="auto"/>
            <w:tcBorders>
              <w:top w:val="single" w:sz="4" w:space="0" w:color="auto"/>
              <w:bottom w:val="single" w:sz="4" w:space="0" w:color="auto"/>
            </w:tcBorders>
            <w:vAlign w:val="center"/>
            <w:hideMark/>
          </w:tcPr>
          <w:p w14:paraId="6CA795CF"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24E79DCE" w14:textId="77777777" w:rsidTr="000101C1">
        <w:tc>
          <w:tcPr>
            <w:tcW w:w="0" w:type="auto"/>
            <w:tcBorders>
              <w:bottom w:val="single" w:sz="4" w:space="0" w:color="auto"/>
            </w:tcBorders>
            <w:tcMar>
              <w:top w:w="15" w:type="dxa"/>
              <w:left w:w="0" w:type="dxa"/>
              <w:bottom w:w="15" w:type="dxa"/>
              <w:right w:w="15" w:type="dxa"/>
            </w:tcMar>
            <w:vAlign w:val="center"/>
            <w:hideMark/>
          </w:tcPr>
          <w:p w14:paraId="32D5388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8E741A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User-centric and people-oriented approach</w:t>
            </w:r>
          </w:p>
        </w:tc>
        <w:tc>
          <w:tcPr>
            <w:tcW w:w="0" w:type="auto"/>
            <w:tcBorders>
              <w:top w:val="single" w:sz="4" w:space="0" w:color="auto"/>
              <w:bottom w:val="single" w:sz="4" w:space="0" w:color="auto"/>
            </w:tcBorders>
            <w:vAlign w:val="center"/>
            <w:hideMark/>
          </w:tcPr>
          <w:p w14:paraId="1ACF7C7E"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Wilson et al. (2024)</w:t>
            </w:r>
          </w:p>
        </w:tc>
      </w:tr>
      <w:tr w:rsidR="000101C1" w:rsidRPr="000101C1" w14:paraId="0A6900FA" w14:textId="77777777" w:rsidTr="000101C1">
        <w:tc>
          <w:tcPr>
            <w:tcW w:w="0" w:type="auto"/>
            <w:tcBorders>
              <w:top w:val="single" w:sz="4" w:space="0" w:color="auto"/>
            </w:tcBorders>
            <w:tcMar>
              <w:top w:w="15" w:type="dxa"/>
              <w:left w:w="0" w:type="dxa"/>
              <w:bottom w:w="15" w:type="dxa"/>
              <w:right w:w="15" w:type="dxa"/>
            </w:tcMar>
            <w:vAlign w:val="center"/>
            <w:hideMark/>
          </w:tcPr>
          <w:p w14:paraId="649DABD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FD7612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comfort factors for residents</w:t>
            </w:r>
          </w:p>
        </w:tc>
        <w:tc>
          <w:tcPr>
            <w:tcW w:w="0" w:type="auto"/>
            <w:tcBorders>
              <w:top w:val="single" w:sz="4" w:space="0" w:color="auto"/>
              <w:bottom w:val="single" w:sz="4" w:space="0" w:color="auto"/>
            </w:tcBorders>
            <w:vAlign w:val="center"/>
            <w:hideMark/>
          </w:tcPr>
          <w:p w14:paraId="54B6F886"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Gatoo</w:t>
            </w:r>
            <w:proofErr w:type="spellEnd"/>
            <w:r w:rsidRPr="000101C1">
              <w:rPr>
                <w:rFonts w:asciiTheme="majorBidi" w:hAnsiTheme="majorBidi" w:cstheme="majorBidi"/>
                <w:sz w:val="20"/>
                <w:szCs w:val="20"/>
              </w:rPr>
              <w:t xml:space="preserve"> Jimenez de </w:t>
            </w:r>
            <w:proofErr w:type="spellStart"/>
            <w:r w:rsidRPr="000101C1">
              <w:rPr>
                <w:rFonts w:asciiTheme="majorBidi" w:hAnsiTheme="majorBidi" w:cstheme="majorBidi"/>
                <w:sz w:val="20"/>
                <w:szCs w:val="20"/>
              </w:rPr>
              <w:t>Laiglesia</w:t>
            </w:r>
            <w:proofErr w:type="spellEnd"/>
            <w:r w:rsidRPr="000101C1">
              <w:rPr>
                <w:rFonts w:asciiTheme="majorBidi" w:hAnsiTheme="majorBidi" w:cstheme="majorBidi"/>
                <w:sz w:val="20"/>
                <w:szCs w:val="20"/>
              </w:rPr>
              <w:t xml:space="preserve"> (2023)</w:t>
            </w:r>
          </w:p>
        </w:tc>
      </w:tr>
      <w:tr w:rsidR="000101C1" w:rsidRPr="000101C1" w14:paraId="0256C2D9" w14:textId="77777777" w:rsidTr="000101C1">
        <w:tc>
          <w:tcPr>
            <w:tcW w:w="0" w:type="auto"/>
            <w:tcMar>
              <w:top w:w="15" w:type="dxa"/>
              <w:left w:w="0" w:type="dxa"/>
              <w:bottom w:w="15" w:type="dxa"/>
              <w:right w:w="15" w:type="dxa"/>
            </w:tcMar>
            <w:vAlign w:val="center"/>
            <w:hideMark/>
          </w:tcPr>
          <w:p w14:paraId="7957378E"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Reduction of Environmental Impact in Construction and Operation</w:t>
            </w:r>
          </w:p>
        </w:tc>
        <w:tc>
          <w:tcPr>
            <w:tcW w:w="0" w:type="auto"/>
            <w:tcBorders>
              <w:top w:val="single" w:sz="4" w:space="0" w:color="auto"/>
              <w:bottom w:val="single" w:sz="4" w:space="0" w:color="auto"/>
            </w:tcBorders>
            <w:vAlign w:val="center"/>
            <w:hideMark/>
          </w:tcPr>
          <w:p w14:paraId="21FB406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Anticipating space performance over the lifecycle and enabling internal changes for new functions</w:t>
            </w:r>
          </w:p>
        </w:tc>
        <w:tc>
          <w:tcPr>
            <w:tcW w:w="0" w:type="auto"/>
            <w:tcBorders>
              <w:top w:val="single" w:sz="4" w:space="0" w:color="auto"/>
              <w:bottom w:val="single" w:sz="4" w:space="0" w:color="auto"/>
            </w:tcBorders>
            <w:vAlign w:val="center"/>
            <w:hideMark/>
          </w:tcPr>
          <w:p w14:paraId="3EE2154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Archer &amp; Wilson (2023)</w:t>
            </w:r>
          </w:p>
        </w:tc>
      </w:tr>
      <w:tr w:rsidR="000101C1" w:rsidRPr="000101C1" w14:paraId="37D3643C" w14:textId="77777777" w:rsidTr="000101C1">
        <w:tc>
          <w:tcPr>
            <w:tcW w:w="0" w:type="auto"/>
            <w:tcMar>
              <w:top w:w="15" w:type="dxa"/>
              <w:left w:w="0" w:type="dxa"/>
              <w:bottom w:w="15" w:type="dxa"/>
              <w:right w:w="15" w:type="dxa"/>
            </w:tcMar>
            <w:vAlign w:val="center"/>
            <w:hideMark/>
          </w:tcPr>
          <w:p w14:paraId="557DBCF2"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3C6800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Compatibility with various materials</w:t>
            </w:r>
          </w:p>
        </w:tc>
        <w:tc>
          <w:tcPr>
            <w:tcW w:w="0" w:type="auto"/>
            <w:tcBorders>
              <w:top w:val="single" w:sz="4" w:space="0" w:color="auto"/>
              <w:bottom w:val="single" w:sz="4" w:space="0" w:color="auto"/>
            </w:tcBorders>
            <w:vAlign w:val="center"/>
            <w:hideMark/>
          </w:tcPr>
          <w:p w14:paraId="0129B36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Muthigani</w:t>
            </w:r>
            <w:proofErr w:type="spellEnd"/>
            <w:r w:rsidRPr="000101C1">
              <w:rPr>
                <w:rFonts w:asciiTheme="majorBidi" w:hAnsiTheme="majorBidi" w:cstheme="majorBidi"/>
                <w:sz w:val="20"/>
                <w:szCs w:val="20"/>
              </w:rPr>
              <w:t xml:space="preserve"> (2024)</w:t>
            </w:r>
          </w:p>
        </w:tc>
      </w:tr>
      <w:tr w:rsidR="000101C1" w:rsidRPr="000101C1" w14:paraId="532F9F84" w14:textId="77777777" w:rsidTr="000101C1">
        <w:tc>
          <w:tcPr>
            <w:tcW w:w="0" w:type="auto"/>
            <w:tcMar>
              <w:top w:w="15" w:type="dxa"/>
              <w:left w:w="0" w:type="dxa"/>
              <w:bottom w:w="15" w:type="dxa"/>
              <w:right w:w="15" w:type="dxa"/>
            </w:tcMar>
            <w:vAlign w:val="center"/>
            <w:hideMark/>
          </w:tcPr>
          <w:p w14:paraId="43B91D0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F9B6292"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Determining unit size based on customer needs</w:t>
            </w:r>
          </w:p>
        </w:tc>
        <w:tc>
          <w:tcPr>
            <w:tcW w:w="0" w:type="auto"/>
            <w:tcBorders>
              <w:top w:val="single" w:sz="4" w:space="0" w:color="auto"/>
              <w:bottom w:val="single" w:sz="4" w:space="0" w:color="auto"/>
            </w:tcBorders>
            <w:vAlign w:val="center"/>
            <w:hideMark/>
          </w:tcPr>
          <w:p w14:paraId="77214A6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Archer &amp; Wilson (2023), P3</w:t>
            </w:r>
          </w:p>
        </w:tc>
      </w:tr>
      <w:tr w:rsidR="000101C1" w:rsidRPr="000101C1" w14:paraId="6226CECF" w14:textId="77777777" w:rsidTr="000101C1">
        <w:tc>
          <w:tcPr>
            <w:tcW w:w="0" w:type="auto"/>
            <w:tcMar>
              <w:top w:w="15" w:type="dxa"/>
              <w:left w:w="0" w:type="dxa"/>
              <w:bottom w:w="15" w:type="dxa"/>
              <w:right w:w="15" w:type="dxa"/>
            </w:tcMar>
            <w:vAlign w:val="center"/>
            <w:hideMark/>
          </w:tcPr>
          <w:p w14:paraId="650765F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7E08F5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Main structure meeting structural requirements</w:t>
            </w:r>
          </w:p>
        </w:tc>
        <w:tc>
          <w:tcPr>
            <w:tcW w:w="0" w:type="auto"/>
            <w:tcBorders>
              <w:top w:val="single" w:sz="4" w:space="0" w:color="auto"/>
              <w:bottom w:val="single" w:sz="4" w:space="0" w:color="auto"/>
            </w:tcBorders>
            <w:vAlign w:val="center"/>
            <w:hideMark/>
          </w:tcPr>
          <w:p w14:paraId="2CE82D8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0520E5D5" w14:textId="77777777" w:rsidTr="000101C1">
        <w:tc>
          <w:tcPr>
            <w:tcW w:w="0" w:type="auto"/>
            <w:tcMar>
              <w:top w:w="15" w:type="dxa"/>
              <w:left w:w="0" w:type="dxa"/>
              <w:bottom w:w="15" w:type="dxa"/>
              <w:right w:w="15" w:type="dxa"/>
            </w:tcMar>
            <w:vAlign w:val="center"/>
            <w:hideMark/>
          </w:tcPr>
          <w:p w14:paraId="05D8BB5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6978770"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Increased user participation in design and construction processes</w:t>
            </w:r>
          </w:p>
        </w:tc>
        <w:tc>
          <w:tcPr>
            <w:tcW w:w="0" w:type="auto"/>
            <w:tcBorders>
              <w:top w:val="single" w:sz="4" w:space="0" w:color="auto"/>
              <w:bottom w:val="single" w:sz="4" w:space="0" w:color="auto"/>
            </w:tcBorders>
            <w:vAlign w:val="center"/>
            <w:hideMark/>
          </w:tcPr>
          <w:p w14:paraId="5E33D28A"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Delehant</w:t>
            </w:r>
            <w:proofErr w:type="spellEnd"/>
            <w:r w:rsidRPr="000101C1">
              <w:rPr>
                <w:rFonts w:asciiTheme="majorBidi" w:hAnsiTheme="majorBidi" w:cstheme="majorBidi"/>
                <w:sz w:val="20"/>
                <w:szCs w:val="20"/>
              </w:rPr>
              <w:t xml:space="preserve"> et al. (2024)</w:t>
            </w:r>
          </w:p>
        </w:tc>
      </w:tr>
      <w:tr w:rsidR="000101C1" w:rsidRPr="000101C1" w14:paraId="74B9DAC4" w14:textId="77777777" w:rsidTr="000101C1">
        <w:tc>
          <w:tcPr>
            <w:tcW w:w="0" w:type="auto"/>
            <w:tcMar>
              <w:top w:w="15" w:type="dxa"/>
              <w:left w:w="0" w:type="dxa"/>
              <w:bottom w:w="15" w:type="dxa"/>
              <w:right w:w="15" w:type="dxa"/>
            </w:tcMar>
            <w:vAlign w:val="center"/>
            <w:hideMark/>
          </w:tcPr>
          <w:p w14:paraId="5A1DCCDB"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448DB6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user intervention points and allowing freedom in them</w:t>
            </w:r>
          </w:p>
        </w:tc>
        <w:tc>
          <w:tcPr>
            <w:tcW w:w="0" w:type="auto"/>
            <w:tcBorders>
              <w:top w:val="single" w:sz="4" w:space="0" w:color="auto"/>
              <w:bottom w:val="single" w:sz="4" w:space="0" w:color="auto"/>
            </w:tcBorders>
            <w:vAlign w:val="center"/>
            <w:hideMark/>
          </w:tcPr>
          <w:p w14:paraId="3A15E33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Wilson et al. (2024)</w:t>
            </w:r>
          </w:p>
        </w:tc>
      </w:tr>
      <w:tr w:rsidR="000101C1" w:rsidRPr="000101C1" w14:paraId="25DA3457" w14:textId="77777777" w:rsidTr="000101C1">
        <w:tc>
          <w:tcPr>
            <w:tcW w:w="0" w:type="auto"/>
            <w:tcBorders>
              <w:bottom w:val="single" w:sz="4" w:space="0" w:color="auto"/>
            </w:tcBorders>
            <w:tcMar>
              <w:top w:w="15" w:type="dxa"/>
              <w:left w:w="0" w:type="dxa"/>
              <w:bottom w:w="15" w:type="dxa"/>
              <w:right w:w="15" w:type="dxa"/>
            </w:tcMar>
            <w:vAlign w:val="center"/>
            <w:hideMark/>
          </w:tcPr>
          <w:p w14:paraId="190A76B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179C291"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Activity zoning to ensure space independence while maintaining connectivity</w:t>
            </w:r>
          </w:p>
        </w:tc>
        <w:tc>
          <w:tcPr>
            <w:tcW w:w="0" w:type="auto"/>
            <w:tcBorders>
              <w:top w:val="single" w:sz="4" w:space="0" w:color="auto"/>
              <w:bottom w:val="single" w:sz="4" w:space="0" w:color="auto"/>
            </w:tcBorders>
            <w:vAlign w:val="center"/>
            <w:hideMark/>
          </w:tcPr>
          <w:p w14:paraId="772A1E52"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Bici</w:t>
            </w:r>
            <w:proofErr w:type="spellEnd"/>
            <w:r w:rsidRPr="000101C1">
              <w:rPr>
                <w:rFonts w:asciiTheme="majorBidi" w:hAnsiTheme="majorBidi" w:cstheme="majorBidi"/>
                <w:sz w:val="20"/>
                <w:szCs w:val="20"/>
              </w:rPr>
              <w:t xml:space="preserve"> &amp; </w:t>
            </w:r>
            <w:proofErr w:type="spellStart"/>
            <w:r w:rsidRPr="000101C1">
              <w:rPr>
                <w:rFonts w:asciiTheme="majorBidi" w:hAnsiTheme="majorBidi" w:cstheme="majorBidi"/>
                <w:sz w:val="20"/>
                <w:szCs w:val="20"/>
              </w:rPr>
              <w:t>Yunitsyna</w:t>
            </w:r>
            <w:proofErr w:type="spellEnd"/>
            <w:r w:rsidRPr="000101C1">
              <w:rPr>
                <w:rFonts w:asciiTheme="majorBidi" w:hAnsiTheme="majorBidi" w:cstheme="majorBidi"/>
                <w:sz w:val="20"/>
                <w:szCs w:val="20"/>
              </w:rPr>
              <w:t xml:space="preserve"> (2023)</w:t>
            </w:r>
          </w:p>
        </w:tc>
      </w:tr>
      <w:tr w:rsidR="000101C1" w:rsidRPr="000101C1" w14:paraId="2341CAAC" w14:textId="77777777" w:rsidTr="000101C1">
        <w:tc>
          <w:tcPr>
            <w:tcW w:w="0" w:type="auto"/>
            <w:tcBorders>
              <w:top w:val="single" w:sz="4" w:space="0" w:color="auto"/>
            </w:tcBorders>
            <w:tcMar>
              <w:top w:w="15" w:type="dxa"/>
              <w:left w:w="0" w:type="dxa"/>
              <w:bottom w:w="15" w:type="dxa"/>
              <w:right w:w="15" w:type="dxa"/>
            </w:tcMar>
            <w:vAlign w:val="center"/>
            <w:hideMark/>
          </w:tcPr>
          <w:p w14:paraId="3F16AD8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Coordination Between Structural and Mechanical Systems</w:t>
            </w:r>
          </w:p>
        </w:tc>
        <w:tc>
          <w:tcPr>
            <w:tcW w:w="0" w:type="auto"/>
            <w:tcBorders>
              <w:top w:val="single" w:sz="4" w:space="0" w:color="auto"/>
              <w:bottom w:val="single" w:sz="4" w:space="0" w:color="auto"/>
            </w:tcBorders>
            <w:vAlign w:val="center"/>
            <w:hideMark/>
          </w:tcPr>
          <w:p w14:paraId="640B9ED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Creating spaces with height and plan integration principles</w:t>
            </w:r>
          </w:p>
        </w:tc>
        <w:tc>
          <w:tcPr>
            <w:tcW w:w="0" w:type="auto"/>
            <w:tcBorders>
              <w:top w:val="single" w:sz="4" w:space="0" w:color="auto"/>
              <w:bottom w:val="single" w:sz="4" w:space="0" w:color="auto"/>
            </w:tcBorders>
            <w:vAlign w:val="center"/>
            <w:hideMark/>
          </w:tcPr>
          <w:p w14:paraId="2CD9313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Wilson et al. (2024)</w:t>
            </w:r>
          </w:p>
        </w:tc>
      </w:tr>
      <w:tr w:rsidR="000101C1" w:rsidRPr="000101C1" w14:paraId="162B005E" w14:textId="77777777" w:rsidTr="000101C1">
        <w:tc>
          <w:tcPr>
            <w:tcW w:w="0" w:type="auto"/>
            <w:tcMar>
              <w:top w:w="15" w:type="dxa"/>
              <w:left w:w="0" w:type="dxa"/>
              <w:bottom w:w="15" w:type="dxa"/>
              <w:right w:w="15" w:type="dxa"/>
            </w:tcMar>
            <w:vAlign w:val="center"/>
            <w:hideMark/>
          </w:tcPr>
          <w:p w14:paraId="2E08EB1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272FE3EB"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Simplifying unit shapes</w:t>
            </w:r>
          </w:p>
        </w:tc>
        <w:tc>
          <w:tcPr>
            <w:tcW w:w="0" w:type="auto"/>
            <w:tcBorders>
              <w:top w:val="single" w:sz="4" w:space="0" w:color="auto"/>
              <w:bottom w:val="single" w:sz="4" w:space="0" w:color="auto"/>
            </w:tcBorders>
            <w:vAlign w:val="center"/>
            <w:hideMark/>
          </w:tcPr>
          <w:p w14:paraId="73476CEF"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Kim (2023)</w:t>
            </w:r>
          </w:p>
        </w:tc>
      </w:tr>
      <w:tr w:rsidR="000101C1" w:rsidRPr="000101C1" w14:paraId="7E823574" w14:textId="77777777" w:rsidTr="000101C1">
        <w:tc>
          <w:tcPr>
            <w:tcW w:w="0" w:type="auto"/>
            <w:tcMar>
              <w:top w:w="15" w:type="dxa"/>
              <w:left w:w="0" w:type="dxa"/>
              <w:bottom w:w="15" w:type="dxa"/>
              <w:right w:w="15" w:type="dxa"/>
            </w:tcMar>
            <w:vAlign w:val="center"/>
            <w:hideMark/>
          </w:tcPr>
          <w:p w14:paraId="0AB9CD3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502CA98"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Dimensional standardization</w:t>
            </w:r>
          </w:p>
        </w:tc>
        <w:tc>
          <w:tcPr>
            <w:tcW w:w="0" w:type="auto"/>
            <w:tcBorders>
              <w:top w:val="single" w:sz="4" w:space="0" w:color="auto"/>
              <w:bottom w:val="single" w:sz="4" w:space="0" w:color="auto"/>
            </w:tcBorders>
            <w:vAlign w:val="center"/>
            <w:hideMark/>
          </w:tcPr>
          <w:p w14:paraId="2722D641"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Walton et al. (2024)</w:t>
            </w:r>
          </w:p>
        </w:tc>
      </w:tr>
      <w:tr w:rsidR="000101C1" w:rsidRPr="000101C1" w14:paraId="019CEDE2" w14:textId="77777777" w:rsidTr="000101C1">
        <w:tc>
          <w:tcPr>
            <w:tcW w:w="0" w:type="auto"/>
            <w:tcMar>
              <w:top w:w="15" w:type="dxa"/>
              <w:left w:w="0" w:type="dxa"/>
              <w:bottom w:w="15" w:type="dxa"/>
              <w:right w:w="15" w:type="dxa"/>
            </w:tcMar>
            <w:vAlign w:val="center"/>
            <w:hideMark/>
          </w:tcPr>
          <w:p w14:paraId="6449AC08"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959A9B6"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7FD0A02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Archer &amp; Wilson (2023), P5</w:t>
            </w:r>
          </w:p>
        </w:tc>
      </w:tr>
      <w:tr w:rsidR="000101C1" w:rsidRPr="000101C1" w14:paraId="21DA81E3" w14:textId="77777777" w:rsidTr="000101C1">
        <w:tc>
          <w:tcPr>
            <w:tcW w:w="0" w:type="auto"/>
            <w:tcMar>
              <w:top w:w="15" w:type="dxa"/>
              <w:left w:w="0" w:type="dxa"/>
              <w:bottom w:w="15" w:type="dxa"/>
              <w:right w:w="15" w:type="dxa"/>
            </w:tcMar>
            <w:vAlign w:val="center"/>
            <w:hideMark/>
          </w:tcPr>
          <w:p w14:paraId="7C5EB85C"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8D3A9A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Meeting health requirements</w:t>
            </w:r>
          </w:p>
        </w:tc>
        <w:tc>
          <w:tcPr>
            <w:tcW w:w="0" w:type="auto"/>
            <w:tcBorders>
              <w:top w:val="single" w:sz="4" w:space="0" w:color="auto"/>
              <w:bottom w:val="single" w:sz="4" w:space="0" w:color="auto"/>
            </w:tcBorders>
            <w:vAlign w:val="center"/>
            <w:hideMark/>
          </w:tcPr>
          <w:p w14:paraId="4B1FE67F"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Hick et al. (2024)</w:t>
            </w:r>
          </w:p>
        </w:tc>
      </w:tr>
      <w:tr w:rsidR="000101C1" w:rsidRPr="000101C1" w14:paraId="432060FD" w14:textId="77777777" w:rsidTr="000101C1">
        <w:tc>
          <w:tcPr>
            <w:tcW w:w="0" w:type="auto"/>
            <w:tcBorders>
              <w:bottom w:val="single" w:sz="4" w:space="0" w:color="auto"/>
            </w:tcBorders>
            <w:tcMar>
              <w:top w:w="15" w:type="dxa"/>
              <w:left w:w="0" w:type="dxa"/>
              <w:bottom w:w="15" w:type="dxa"/>
              <w:right w:w="15" w:type="dxa"/>
            </w:tcMar>
            <w:vAlign w:val="center"/>
            <w:hideMark/>
          </w:tcPr>
          <w:p w14:paraId="56B59C95"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044E60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Designing products with maximum lifespan and minimal maintenance needs</w:t>
            </w:r>
          </w:p>
        </w:tc>
        <w:tc>
          <w:tcPr>
            <w:tcW w:w="0" w:type="auto"/>
            <w:tcBorders>
              <w:top w:val="single" w:sz="4" w:space="0" w:color="auto"/>
              <w:bottom w:val="single" w:sz="4" w:space="0" w:color="auto"/>
            </w:tcBorders>
            <w:vAlign w:val="center"/>
            <w:hideMark/>
          </w:tcPr>
          <w:p w14:paraId="3E399BF2"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Mumtaz &amp; Hussain (2024)</w:t>
            </w:r>
          </w:p>
        </w:tc>
      </w:tr>
      <w:tr w:rsidR="000101C1" w:rsidRPr="000101C1" w14:paraId="798AAA54" w14:textId="77777777" w:rsidTr="000101C1">
        <w:tc>
          <w:tcPr>
            <w:tcW w:w="0" w:type="auto"/>
            <w:tcBorders>
              <w:top w:val="single" w:sz="4" w:space="0" w:color="auto"/>
            </w:tcBorders>
            <w:tcMar>
              <w:top w:w="15" w:type="dxa"/>
              <w:left w:w="0" w:type="dxa"/>
              <w:bottom w:w="15" w:type="dxa"/>
              <w:right w:w="15" w:type="dxa"/>
            </w:tcMar>
            <w:vAlign w:val="center"/>
            <w:hideMark/>
          </w:tcPr>
          <w:p w14:paraId="4C35AE17"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Use of Passive Ventilation and Climate Solutions</w:t>
            </w:r>
          </w:p>
        </w:tc>
        <w:tc>
          <w:tcPr>
            <w:tcW w:w="0" w:type="auto"/>
            <w:tcBorders>
              <w:top w:val="single" w:sz="4" w:space="0" w:color="auto"/>
              <w:bottom w:val="single" w:sz="4" w:space="0" w:color="auto"/>
            </w:tcBorders>
            <w:vAlign w:val="center"/>
            <w:hideMark/>
          </w:tcPr>
          <w:p w14:paraId="42647C9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Identifying user intervention points and allowing freedom in them</w:t>
            </w:r>
          </w:p>
        </w:tc>
        <w:tc>
          <w:tcPr>
            <w:tcW w:w="0" w:type="auto"/>
            <w:tcBorders>
              <w:top w:val="single" w:sz="4" w:space="0" w:color="auto"/>
              <w:bottom w:val="single" w:sz="4" w:space="0" w:color="auto"/>
            </w:tcBorders>
            <w:vAlign w:val="center"/>
            <w:hideMark/>
          </w:tcPr>
          <w:p w14:paraId="240BF38A" w14:textId="77777777" w:rsidR="000101C1" w:rsidRPr="000101C1" w:rsidRDefault="000101C1" w:rsidP="00DD24AD">
            <w:pPr>
              <w:spacing w:after="0" w:line="240" w:lineRule="auto"/>
              <w:contextualSpacing/>
              <w:jc w:val="center"/>
              <w:rPr>
                <w:rFonts w:asciiTheme="majorBidi" w:hAnsiTheme="majorBidi" w:cstheme="majorBidi"/>
                <w:sz w:val="20"/>
                <w:szCs w:val="20"/>
              </w:rPr>
            </w:pPr>
            <w:proofErr w:type="spellStart"/>
            <w:r w:rsidRPr="000101C1">
              <w:rPr>
                <w:rFonts w:asciiTheme="majorBidi" w:hAnsiTheme="majorBidi" w:cstheme="majorBidi"/>
                <w:sz w:val="20"/>
                <w:szCs w:val="20"/>
              </w:rPr>
              <w:t>Delehant</w:t>
            </w:r>
            <w:proofErr w:type="spellEnd"/>
            <w:r w:rsidRPr="000101C1">
              <w:rPr>
                <w:rFonts w:asciiTheme="majorBidi" w:hAnsiTheme="majorBidi" w:cstheme="majorBidi"/>
                <w:sz w:val="20"/>
                <w:szCs w:val="20"/>
              </w:rPr>
              <w:t xml:space="preserve"> et al. (2024)</w:t>
            </w:r>
          </w:p>
        </w:tc>
      </w:tr>
      <w:tr w:rsidR="000101C1" w:rsidRPr="000101C1" w14:paraId="2C987D70" w14:textId="77777777" w:rsidTr="000101C1">
        <w:tc>
          <w:tcPr>
            <w:tcW w:w="0" w:type="auto"/>
            <w:tcMar>
              <w:top w:w="15" w:type="dxa"/>
              <w:left w:w="0" w:type="dxa"/>
              <w:bottom w:w="15" w:type="dxa"/>
              <w:right w:w="15" w:type="dxa"/>
            </w:tcMar>
            <w:vAlign w:val="center"/>
            <w:hideMark/>
          </w:tcPr>
          <w:p w14:paraId="57B5575E"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2E59EEB"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Anticipating potential spaces for customer participation</w:t>
            </w:r>
          </w:p>
        </w:tc>
        <w:tc>
          <w:tcPr>
            <w:tcW w:w="0" w:type="auto"/>
            <w:tcBorders>
              <w:top w:val="single" w:sz="4" w:space="0" w:color="auto"/>
              <w:bottom w:val="single" w:sz="4" w:space="0" w:color="auto"/>
            </w:tcBorders>
            <w:vAlign w:val="center"/>
            <w:hideMark/>
          </w:tcPr>
          <w:p w14:paraId="1E0E7B2F"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 xml:space="preserve">Okereke &amp; </w:t>
            </w:r>
            <w:proofErr w:type="spellStart"/>
            <w:r w:rsidRPr="000101C1">
              <w:rPr>
                <w:rFonts w:asciiTheme="majorBidi" w:hAnsiTheme="majorBidi" w:cstheme="majorBidi"/>
                <w:sz w:val="20"/>
                <w:szCs w:val="20"/>
              </w:rPr>
              <w:t>Okanya</w:t>
            </w:r>
            <w:proofErr w:type="spellEnd"/>
            <w:r w:rsidRPr="000101C1">
              <w:rPr>
                <w:rFonts w:asciiTheme="majorBidi" w:hAnsiTheme="majorBidi" w:cstheme="majorBidi"/>
                <w:sz w:val="20"/>
                <w:szCs w:val="20"/>
              </w:rPr>
              <w:t xml:space="preserve"> (2024)</w:t>
            </w:r>
          </w:p>
        </w:tc>
      </w:tr>
      <w:tr w:rsidR="000101C1" w:rsidRPr="000101C1" w14:paraId="0A2EB3EA" w14:textId="77777777" w:rsidTr="000101C1">
        <w:tc>
          <w:tcPr>
            <w:tcW w:w="0" w:type="auto"/>
            <w:tcMar>
              <w:top w:w="15" w:type="dxa"/>
              <w:left w:w="0" w:type="dxa"/>
              <w:bottom w:w="15" w:type="dxa"/>
              <w:right w:w="15" w:type="dxa"/>
            </w:tcMar>
            <w:vAlign w:val="center"/>
            <w:hideMark/>
          </w:tcPr>
          <w:p w14:paraId="7110F07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31E65A6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Improving quality and living standards for residents</w:t>
            </w:r>
          </w:p>
        </w:tc>
        <w:tc>
          <w:tcPr>
            <w:tcW w:w="0" w:type="auto"/>
            <w:tcBorders>
              <w:top w:val="single" w:sz="4" w:space="0" w:color="auto"/>
              <w:bottom w:val="single" w:sz="4" w:space="0" w:color="auto"/>
            </w:tcBorders>
            <w:vAlign w:val="center"/>
            <w:hideMark/>
          </w:tcPr>
          <w:p w14:paraId="6D26F26A"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Walton et al. (2024)</w:t>
            </w:r>
          </w:p>
        </w:tc>
      </w:tr>
      <w:tr w:rsidR="000101C1" w:rsidRPr="000101C1" w14:paraId="34B03226" w14:textId="77777777" w:rsidTr="000101C1">
        <w:tc>
          <w:tcPr>
            <w:tcW w:w="0" w:type="auto"/>
            <w:tcMar>
              <w:top w:w="15" w:type="dxa"/>
              <w:left w:w="0" w:type="dxa"/>
              <w:bottom w:w="15" w:type="dxa"/>
              <w:right w:w="15" w:type="dxa"/>
            </w:tcMar>
            <w:vAlign w:val="center"/>
            <w:hideMark/>
          </w:tcPr>
          <w:p w14:paraId="3CB8BE9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1674BBF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Presence of comfort factors for residents</w:t>
            </w:r>
          </w:p>
        </w:tc>
        <w:tc>
          <w:tcPr>
            <w:tcW w:w="0" w:type="auto"/>
            <w:tcBorders>
              <w:top w:val="single" w:sz="4" w:space="0" w:color="auto"/>
              <w:bottom w:val="single" w:sz="4" w:space="0" w:color="auto"/>
            </w:tcBorders>
            <w:vAlign w:val="center"/>
            <w:hideMark/>
          </w:tcPr>
          <w:p w14:paraId="175BB80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(2023), P1, P2</w:t>
            </w:r>
          </w:p>
        </w:tc>
      </w:tr>
      <w:tr w:rsidR="000101C1" w:rsidRPr="000101C1" w14:paraId="075BF3E2" w14:textId="77777777" w:rsidTr="000101C1">
        <w:tc>
          <w:tcPr>
            <w:tcW w:w="0" w:type="auto"/>
            <w:tcBorders>
              <w:bottom w:val="single" w:sz="4" w:space="0" w:color="auto"/>
            </w:tcBorders>
            <w:tcMar>
              <w:top w:w="15" w:type="dxa"/>
              <w:left w:w="0" w:type="dxa"/>
              <w:bottom w:w="15" w:type="dxa"/>
              <w:right w:w="15" w:type="dxa"/>
            </w:tcMar>
            <w:vAlign w:val="center"/>
            <w:hideMark/>
          </w:tcPr>
          <w:p w14:paraId="66809F7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F7272E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Central placement of service and communication spaces for maximum living space efficiency</w:t>
            </w:r>
          </w:p>
        </w:tc>
        <w:tc>
          <w:tcPr>
            <w:tcW w:w="0" w:type="auto"/>
            <w:tcBorders>
              <w:top w:val="single" w:sz="4" w:space="0" w:color="auto"/>
              <w:bottom w:val="single" w:sz="4" w:space="0" w:color="auto"/>
            </w:tcBorders>
            <w:vAlign w:val="center"/>
            <w:hideMark/>
          </w:tcPr>
          <w:p w14:paraId="14AE8CC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Wilson et al. (2024)</w:t>
            </w:r>
          </w:p>
        </w:tc>
      </w:tr>
      <w:tr w:rsidR="000101C1" w:rsidRPr="000101C1" w14:paraId="7690C4F0" w14:textId="77777777" w:rsidTr="000101C1">
        <w:tc>
          <w:tcPr>
            <w:tcW w:w="0" w:type="auto"/>
            <w:tcBorders>
              <w:top w:val="single" w:sz="4" w:space="0" w:color="auto"/>
            </w:tcBorders>
            <w:tcMar>
              <w:top w:w="15" w:type="dxa"/>
              <w:left w:w="0" w:type="dxa"/>
              <w:bottom w:w="15" w:type="dxa"/>
              <w:right w:w="15" w:type="dxa"/>
            </w:tcMar>
            <w:vAlign w:val="center"/>
            <w:hideMark/>
          </w:tcPr>
          <w:p w14:paraId="6DA7D80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Increased Speed and Efficiency in Production and Execution Processes</w:t>
            </w:r>
          </w:p>
        </w:tc>
        <w:tc>
          <w:tcPr>
            <w:tcW w:w="0" w:type="auto"/>
            <w:tcBorders>
              <w:top w:val="single" w:sz="4" w:space="0" w:color="auto"/>
              <w:bottom w:val="single" w:sz="4" w:space="0" w:color="auto"/>
            </w:tcBorders>
            <w:vAlign w:val="center"/>
            <w:hideMark/>
          </w:tcPr>
          <w:p w14:paraId="5B18585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Optimizing the number of modules for maximum usable area</w:t>
            </w:r>
          </w:p>
        </w:tc>
        <w:tc>
          <w:tcPr>
            <w:tcW w:w="0" w:type="auto"/>
            <w:tcBorders>
              <w:top w:val="single" w:sz="4" w:space="0" w:color="auto"/>
              <w:bottom w:val="single" w:sz="4" w:space="0" w:color="auto"/>
            </w:tcBorders>
            <w:vAlign w:val="center"/>
            <w:hideMark/>
          </w:tcPr>
          <w:p w14:paraId="5001F7E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et al. (2022)</w:t>
            </w:r>
          </w:p>
        </w:tc>
      </w:tr>
      <w:tr w:rsidR="000101C1" w:rsidRPr="000101C1" w14:paraId="4BC98FE2" w14:textId="77777777" w:rsidTr="000101C1">
        <w:tc>
          <w:tcPr>
            <w:tcW w:w="0" w:type="auto"/>
            <w:tcMar>
              <w:top w:w="15" w:type="dxa"/>
              <w:left w:w="0" w:type="dxa"/>
              <w:bottom w:w="15" w:type="dxa"/>
              <w:right w:w="15" w:type="dxa"/>
            </w:tcMar>
            <w:vAlign w:val="center"/>
            <w:hideMark/>
          </w:tcPr>
          <w:p w14:paraId="2AE031D6"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5E4A1F3"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BIM for structural, architectural, and MEP integration (virtual design and construction)</w:t>
            </w:r>
          </w:p>
        </w:tc>
        <w:tc>
          <w:tcPr>
            <w:tcW w:w="0" w:type="auto"/>
            <w:tcBorders>
              <w:top w:val="single" w:sz="4" w:space="0" w:color="auto"/>
              <w:bottom w:val="single" w:sz="4" w:space="0" w:color="auto"/>
            </w:tcBorders>
            <w:vAlign w:val="center"/>
            <w:hideMark/>
          </w:tcPr>
          <w:p w14:paraId="5F25E4D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Mumtaz &amp; Hussain (2024)</w:t>
            </w:r>
          </w:p>
        </w:tc>
      </w:tr>
      <w:tr w:rsidR="000101C1" w:rsidRPr="000101C1" w14:paraId="74107026" w14:textId="77777777" w:rsidTr="000101C1">
        <w:tc>
          <w:tcPr>
            <w:tcW w:w="0" w:type="auto"/>
            <w:tcMar>
              <w:top w:w="15" w:type="dxa"/>
              <w:left w:w="0" w:type="dxa"/>
              <w:bottom w:w="15" w:type="dxa"/>
              <w:right w:w="15" w:type="dxa"/>
            </w:tcMar>
            <w:vAlign w:val="center"/>
            <w:hideMark/>
          </w:tcPr>
          <w:p w14:paraId="0EA1A147"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69B4E1E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User-centric and people-oriented approach</w:t>
            </w:r>
          </w:p>
        </w:tc>
        <w:tc>
          <w:tcPr>
            <w:tcW w:w="0" w:type="auto"/>
            <w:tcBorders>
              <w:top w:val="single" w:sz="4" w:space="0" w:color="auto"/>
              <w:bottom w:val="single" w:sz="4" w:space="0" w:color="auto"/>
            </w:tcBorders>
            <w:vAlign w:val="center"/>
            <w:hideMark/>
          </w:tcPr>
          <w:p w14:paraId="5B4B553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Hick et al. (2024)</w:t>
            </w:r>
          </w:p>
        </w:tc>
      </w:tr>
      <w:tr w:rsidR="000101C1" w:rsidRPr="000101C1" w14:paraId="0C1A42E1" w14:textId="77777777" w:rsidTr="000101C1">
        <w:tc>
          <w:tcPr>
            <w:tcW w:w="0" w:type="auto"/>
            <w:tcBorders>
              <w:bottom w:val="single" w:sz="4" w:space="0" w:color="auto"/>
            </w:tcBorders>
            <w:tcMar>
              <w:top w:w="15" w:type="dxa"/>
              <w:left w:w="0" w:type="dxa"/>
              <w:bottom w:w="15" w:type="dxa"/>
              <w:right w:w="15" w:type="dxa"/>
            </w:tcMar>
            <w:vAlign w:val="center"/>
            <w:hideMark/>
          </w:tcPr>
          <w:p w14:paraId="35AB4DD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7D67B57"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Ability to create dynamic and diverse interior spaces</w:t>
            </w:r>
          </w:p>
        </w:tc>
        <w:tc>
          <w:tcPr>
            <w:tcW w:w="0" w:type="auto"/>
            <w:tcBorders>
              <w:top w:val="single" w:sz="4" w:space="0" w:color="auto"/>
              <w:bottom w:val="single" w:sz="4" w:space="0" w:color="auto"/>
            </w:tcBorders>
            <w:vAlign w:val="center"/>
            <w:hideMark/>
          </w:tcPr>
          <w:p w14:paraId="4A467599"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(2023), P2, P3</w:t>
            </w:r>
          </w:p>
        </w:tc>
      </w:tr>
      <w:tr w:rsidR="000101C1" w:rsidRPr="000101C1" w14:paraId="0DEEA192" w14:textId="77777777" w:rsidTr="000101C1">
        <w:tc>
          <w:tcPr>
            <w:tcW w:w="0" w:type="auto"/>
            <w:tcBorders>
              <w:top w:val="single" w:sz="4" w:space="0" w:color="auto"/>
            </w:tcBorders>
            <w:tcMar>
              <w:top w:w="15" w:type="dxa"/>
              <w:left w:w="0" w:type="dxa"/>
              <w:bottom w:w="15" w:type="dxa"/>
              <w:right w:w="15" w:type="dxa"/>
            </w:tcMar>
            <w:vAlign w:val="center"/>
            <w:hideMark/>
          </w:tcPr>
          <w:p w14:paraId="66847279"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22889C4"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Free configuration of facades</w:t>
            </w:r>
          </w:p>
        </w:tc>
        <w:tc>
          <w:tcPr>
            <w:tcW w:w="0" w:type="auto"/>
            <w:tcBorders>
              <w:top w:val="single" w:sz="4" w:space="0" w:color="auto"/>
              <w:bottom w:val="single" w:sz="4" w:space="0" w:color="auto"/>
            </w:tcBorders>
            <w:vAlign w:val="center"/>
            <w:hideMark/>
          </w:tcPr>
          <w:p w14:paraId="6839D6B4"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et al. (2020)</w:t>
            </w:r>
          </w:p>
        </w:tc>
      </w:tr>
      <w:tr w:rsidR="000101C1" w:rsidRPr="000101C1" w14:paraId="62E3318E" w14:textId="77777777" w:rsidTr="000101C1">
        <w:tc>
          <w:tcPr>
            <w:tcW w:w="0" w:type="auto"/>
            <w:tcMar>
              <w:top w:w="15" w:type="dxa"/>
              <w:left w:w="0" w:type="dxa"/>
              <w:bottom w:w="15" w:type="dxa"/>
              <w:right w:w="15" w:type="dxa"/>
            </w:tcMar>
            <w:vAlign w:val="center"/>
            <w:hideMark/>
          </w:tcPr>
          <w:p w14:paraId="16B910EB"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b/>
                <w:bCs/>
                <w:sz w:val="20"/>
                <w:szCs w:val="20"/>
              </w:rPr>
              <w:t>Provision of Psychological Comfort and Prevention of Environmental Stress</w:t>
            </w:r>
          </w:p>
        </w:tc>
        <w:tc>
          <w:tcPr>
            <w:tcW w:w="0" w:type="auto"/>
            <w:tcBorders>
              <w:top w:val="single" w:sz="4" w:space="0" w:color="auto"/>
              <w:bottom w:val="single" w:sz="4" w:space="0" w:color="auto"/>
            </w:tcBorders>
            <w:vAlign w:val="center"/>
            <w:hideMark/>
          </w:tcPr>
          <w:p w14:paraId="54CAC7A9"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decks with larger spans</w:t>
            </w:r>
          </w:p>
        </w:tc>
        <w:tc>
          <w:tcPr>
            <w:tcW w:w="0" w:type="auto"/>
            <w:tcBorders>
              <w:top w:val="single" w:sz="4" w:space="0" w:color="auto"/>
              <w:bottom w:val="single" w:sz="4" w:space="0" w:color="auto"/>
            </w:tcBorders>
            <w:vAlign w:val="center"/>
            <w:hideMark/>
          </w:tcPr>
          <w:p w14:paraId="025A726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Walton et al. (2024), P1, P4</w:t>
            </w:r>
          </w:p>
        </w:tc>
      </w:tr>
      <w:tr w:rsidR="000101C1" w:rsidRPr="000101C1" w14:paraId="1F79EE49" w14:textId="77777777" w:rsidTr="000101C1">
        <w:tc>
          <w:tcPr>
            <w:tcW w:w="0" w:type="auto"/>
            <w:tcMar>
              <w:top w:w="15" w:type="dxa"/>
              <w:left w:w="0" w:type="dxa"/>
              <w:bottom w:w="15" w:type="dxa"/>
              <w:right w:w="15" w:type="dxa"/>
            </w:tcMar>
            <w:vAlign w:val="center"/>
            <w:hideMark/>
          </w:tcPr>
          <w:p w14:paraId="40F0FC84"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78141BF5"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Use of decks with larger spans</w:t>
            </w:r>
          </w:p>
        </w:tc>
        <w:tc>
          <w:tcPr>
            <w:tcW w:w="0" w:type="auto"/>
            <w:tcBorders>
              <w:top w:val="single" w:sz="4" w:space="0" w:color="auto"/>
              <w:bottom w:val="single" w:sz="4" w:space="0" w:color="auto"/>
            </w:tcBorders>
            <w:vAlign w:val="center"/>
            <w:hideMark/>
          </w:tcPr>
          <w:p w14:paraId="3681753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et al. (2020)</w:t>
            </w:r>
          </w:p>
        </w:tc>
      </w:tr>
      <w:tr w:rsidR="000101C1" w:rsidRPr="000101C1" w14:paraId="6C2CCC4E" w14:textId="77777777" w:rsidTr="000101C1">
        <w:tc>
          <w:tcPr>
            <w:tcW w:w="0" w:type="auto"/>
            <w:tcMar>
              <w:top w:w="15" w:type="dxa"/>
              <w:left w:w="0" w:type="dxa"/>
              <w:bottom w:w="15" w:type="dxa"/>
              <w:right w:w="15" w:type="dxa"/>
            </w:tcMar>
            <w:vAlign w:val="center"/>
            <w:hideMark/>
          </w:tcPr>
          <w:p w14:paraId="23B7284F"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4492249B"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Optimization of panel dimensions</w:t>
            </w:r>
          </w:p>
        </w:tc>
        <w:tc>
          <w:tcPr>
            <w:tcW w:w="0" w:type="auto"/>
            <w:tcBorders>
              <w:top w:val="single" w:sz="4" w:space="0" w:color="auto"/>
              <w:bottom w:val="single" w:sz="4" w:space="0" w:color="auto"/>
            </w:tcBorders>
            <w:vAlign w:val="center"/>
            <w:hideMark/>
          </w:tcPr>
          <w:p w14:paraId="35933A35"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et al. (2020)</w:t>
            </w:r>
          </w:p>
        </w:tc>
      </w:tr>
      <w:tr w:rsidR="000101C1" w:rsidRPr="000101C1" w14:paraId="7CB9D86A" w14:textId="77777777" w:rsidTr="000101C1">
        <w:tc>
          <w:tcPr>
            <w:tcW w:w="0" w:type="auto"/>
            <w:tcMar>
              <w:top w:w="15" w:type="dxa"/>
              <w:left w:w="0" w:type="dxa"/>
              <w:bottom w:w="15" w:type="dxa"/>
              <w:right w:w="15" w:type="dxa"/>
            </w:tcMar>
            <w:vAlign w:val="center"/>
            <w:hideMark/>
          </w:tcPr>
          <w:p w14:paraId="0DA6D05D"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5394355C"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Adaptability to future needs</w:t>
            </w:r>
          </w:p>
        </w:tc>
        <w:tc>
          <w:tcPr>
            <w:tcW w:w="0" w:type="auto"/>
            <w:tcBorders>
              <w:top w:val="single" w:sz="4" w:space="0" w:color="auto"/>
              <w:bottom w:val="single" w:sz="4" w:space="0" w:color="auto"/>
            </w:tcBorders>
            <w:vAlign w:val="center"/>
            <w:hideMark/>
          </w:tcPr>
          <w:p w14:paraId="77CFDF63"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Perreault (2023)</w:t>
            </w:r>
          </w:p>
        </w:tc>
      </w:tr>
      <w:tr w:rsidR="000101C1" w:rsidRPr="000101C1" w14:paraId="2C9943B6" w14:textId="77777777" w:rsidTr="000101C1">
        <w:tc>
          <w:tcPr>
            <w:tcW w:w="0" w:type="auto"/>
            <w:tcBorders>
              <w:bottom w:val="single" w:sz="4" w:space="0" w:color="auto"/>
            </w:tcBorders>
            <w:tcMar>
              <w:top w:w="15" w:type="dxa"/>
              <w:left w:w="0" w:type="dxa"/>
              <w:bottom w:w="15" w:type="dxa"/>
              <w:right w:w="15" w:type="dxa"/>
            </w:tcMar>
            <w:vAlign w:val="center"/>
            <w:hideMark/>
          </w:tcPr>
          <w:p w14:paraId="00B059AA" w14:textId="77777777" w:rsidR="000101C1" w:rsidRPr="000101C1" w:rsidRDefault="000101C1" w:rsidP="00DD24AD">
            <w:pPr>
              <w:spacing w:after="0" w:line="240" w:lineRule="auto"/>
              <w:contextualSpacing/>
              <w:jc w:val="center"/>
              <w:rPr>
                <w:rFonts w:asciiTheme="majorBidi" w:hAnsiTheme="majorBidi" w:cstheme="majorBidi"/>
                <w:sz w:val="20"/>
                <w:szCs w:val="20"/>
              </w:rPr>
            </w:pPr>
          </w:p>
        </w:tc>
        <w:tc>
          <w:tcPr>
            <w:tcW w:w="0" w:type="auto"/>
            <w:tcBorders>
              <w:top w:val="single" w:sz="4" w:space="0" w:color="auto"/>
              <w:bottom w:val="single" w:sz="4" w:space="0" w:color="auto"/>
            </w:tcBorders>
            <w:vAlign w:val="center"/>
            <w:hideMark/>
          </w:tcPr>
          <w:p w14:paraId="086C8BAE" w14:textId="77777777" w:rsidR="000101C1" w:rsidRPr="000101C1" w:rsidRDefault="000101C1" w:rsidP="00DD24AD">
            <w:pPr>
              <w:spacing w:after="0" w:line="240" w:lineRule="auto"/>
              <w:contextualSpacing/>
              <w:rPr>
                <w:rFonts w:asciiTheme="majorBidi" w:hAnsiTheme="majorBidi" w:cstheme="majorBidi"/>
                <w:sz w:val="20"/>
                <w:szCs w:val="20"/>
              </w:rPr>
            </w:pPr>
            <w:r w:rsidRPr="000101C1">
              <w:rPr>
                <w:rFonts w:asciiTheme="majorBidi" w:hAnsiTheme="majorBidi" w:cstheme="majorBidi"/>
                <w:sz w:val="20"/>
                <w:szCs w:val="20"/>
              </w:rPr>
              <w:t>Flexibility at micro and macro scales (ability to change the type and proportion of residential units)</w:t>
            </w:r>
          </w:p>
        </w:tc>
        <w:tc>
          <w:tcPr>
            <w:tcW w:w="0" w:type="auto"/>
            <w:tcBorders>
              <w:top w:val="single" w:sz="4" w:space="0" w:color="auto"/>
              <w:bottom w:val="single" w:sz="4" w:space="0" w:color="auto"/>
            </w:tcBorders>
            <w:vAlign w:val="center"/>
            <w:hideMark/>
          </w:tcPr>
          <w:p w14:paraId="4737392D" w14:textId="77777777" w:rsidR="000101C1" w:rsidRPr="000101C1" w:rsidRDefault="000101C1" w:rsidP="00DD24AD">
            <w:pPr>
              <w:spacing w:after="0" w:line="240" w:lineRule="auto"/>
              <w:contextualSpacing/>
              <w:jc w:val="center"/>
              <w:rPr>
                <w:rFonts w:asciiTheme="majorBidi" w:hAnsiTheme="majorBidi" w:cstheme="majorBidi"/>
                <w:sz w:val="20"/>
                <w:szCs w:val="20"/>
              </w:rPr>
            </w:pPr>
            <w:r w:rsidRPr="000101C1">
              <w:rPr>
                <w:rFonts w:asciiTheme="majorBidi" w:hAnsiTheme="majorBidi" w:cstheme="majorBidi"/>
                <w:sz w:val="20"/>
                <w:szCs w:val="20"/>
              </w:rPr>
              <w:t>Mumtaz &amp; Hussain (2024)</w:t>
            </w:r>
          </w:p>
        </w:tc>
      </w:tr>
    </w:tbl>
    <w:p w14:paraId="74BF9236" w14:textId="77777777" w:rsidR="000101C1" w:rsidRPr="00C45F76" w:rsidRDefault="000101C1" w:rsidP="00C45F76">
      <w:pPr>
        <w:spacing w:after="0" w:line="240" w:lineRule="auto"/>
        <w:contextualSpacing/>
        <w:jc w:val="both"/>
        <w:rPr>
          <w:rFonts w:asciiTheme="majorBidi" w:hAnsiTheme="majorBidi" w:cstheme="majorBidi"/>
        </w:rPr>
      </w:pPr>
    </w:p>
    <w:p w14:paraId="4D3533CE" w14:textId="24C028BF" w:rsidR="00C45F76" w:rsidRDefault="00A22325" w:rsidP="00A22325">
      <w:pPr>
        <w:spacing w:after="0" w:line="240" w:lineRule="auto"/>
        <w:contextualSpacing/>
        <w:jc w:val="both"/>
        <w:rPr>
          <w:rFonts w:asciiTheme="majorBidi" w:hAnsiTheme="majorBidi" w:cstheme="majorBidi"/>
        </w:rPr>
      </w:pPr>
      <w:r w:rsidRPr="00A22325">
        <w:rPr>
          <w:rFonts w:asciiTheme="majorBidi" w:hAnsiTheme="majorBidi" w:cstheme="majorBidi"/>
        </w:rPr>
        <w:t>In the next step, a researcher-made questionnaire derived from the above table was used to perform confirmatory factor analysis. Figure (1) shows the structural equation model related to the factors identified in this process, based on the factor loadings of latent and observed variables. The numbers on the arrows represent the factor loadings, and the numbers inside the blue circles represent the coefficient of determination.</w:t>
      </w:r>
    </w:p>
    <w:p w14:paraId="7AE7EBCB" w14:textId="2E4DC4BB" w:rsidR="00A22325" w:rsidRDefault="00A22325" w:rsidP="00A22325">
      <w:pPr>
        <w:spacing w:after="0" w:line="240" w:lineRule="auto"/>
        <w:contextualSpacing/>
        <w:jc w:val="both"/>
        <w:rPr>
          <w:rFonts w:asciiTheme="majorBidi" w:hAnsiTheme="majorBidi" w:cstheme="majorBidi"/>
        </w:rPr>
      </w:pPr>
    </w:p>
    <w:p w14:paraId="788108AE" w14:textId="3375F463" w:rsidR="00A22325" w:rsidRDefault="00A22325" w:rsidP="00F81835">
      <w:pPr>
        <w:spacing w:after="0" w:line="240" w:lineRule="auto"/>
        <w:contextualSpacing/>
        <w:jc w:val="center"/>
        <w:rPr>
          <w:rFonts w:asciiTheme="majorBidi" w:hAnsiTheme="majorBidi" w:cstheme="majorBidi"/>
          <w:rtl/>
          <w:lang w:bidi="fa-IR"/>
        </w:rPr>
      </w:pPr>
      <w:r>
        <w:rPr>
          <w:noProof/>
        </w:rPr>
        <w:drawing>
          <wp:inline distT="0" distB="0" distL="0" distR="0" wp14:anchorId="47F1AFD7" wp14:editId="27BECE72">
            <wp:extent cx="4423144" cy="224096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4021" cy="2266744"/>
                    </a:xfrm>
                    <a:prstGeom prst="rect">
                      <a:avLst/>
                    </a:prstGeom>
                  </pic:spPr>
                </pic:pic>
              </a:graphicData>
            </a:graphic>
          </wp:inline>
        </w:drawing>
      </w:r>
    </w:p>
    <w:p w14:paraId="25098A8C" w14:textId="2B528942" w:rsidR="00D07030" w:rsidRDefault="00D07030" w:rsidP="00D07030">
      <w:pPr>
        <w:spacing w:after="0" w:line="240" w:lineRule="auto"/>
        <w:contextualSpacing/>
        <w:jc w:val="center"/>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Figure (1) Structural Equation Model of the Drivers of Affordable Housing Based on the Socio-Cultural Patterns of Iran According to Factor Load Values</w:t>
      </w:r>
    </w:p>
    <w:p w14:paraId="18686AD7" w14:textId="77777777" w:rsidR="00186732" w:rsidRDefault="00186732" w:rsidP="00D07030">
      <w:pPr>
        <w:spacing w:after="0" w:line="240" w:lineRule="auto"/>
        <w:contextualSpacing/>
        <w:jc w:val="center"/>
        <w:rPr>
          <w:rFonts w:asciiTheme="majorBidi" w:hAnsiTheme="majorBidi" w:cstheme="majorBidi"/>
          <w:b/>
          <w:bCs/>
          <w:sz w:val="20"/>
          <w:szCs w:val="20"/>
          <w:lang w:bidi="fa-IR"/>
        </w:rPr>
      </w:pPr>
    </w:p>
    <w:p w14:paraId="53092E36" w14:textId="1698D9A7" w:rsidR="00D07030" w:rsidRDefault="00D07030" w:rsidP="00D07030">
      <w:pPr>
        <w:spacing w:after="0" w:line="240" w:lineRule="auto"/>
        <w:contextualSpacing/>
        <w:jc w:val="both"/>
        <w:rPr>
          <w:rFonts w:asciiTheme="majorBidi" w:hAnsiTheme="majorBidi" w:cstheme="majorBidi"/>
          <w:lang w:bidi="fa-IR"/>
        </w:rPr>
      </w:pPr>
      <w:r w:rsidRPr="00D07030">
        <w:rPr>
          <w:rFonts w:asciiTheme="majorBidi" w:hAnsiTheme="majorBidi" w:cstheme="majorBidi"/>
          <w:lang w:bidi="fa-IR"/>
        </w:rPr>
        <w:t xml:space="preserve">Figure (1) presents the structural equation model of the drivers of affordable housing supply based on socio-cultural patterns in Iran, according to factor loadings. As shown in Figure (1), all factors have factor loadings close to or greater than 0.5. Although the factor for reducing environmental impacts has a factor loading of less than 0.5, according to Table 6 and based on the </w:t>
      </w:r>
      <w:proofErr w:type="gramStart"/>
      <w:r w:rsidRPr="00D07030">
        <w:rPr>
          <w:rFonts w:asciiTheme="majorBidi" w:hAnsiTheme="majorBidi" w:cstheme="majorBidi"/>
          <w:lang w:bidi="fa-IR"/>
        </w:rPr>
        <w:t>Student's</w:t>
      </w:r>
      <w:proofErr w:type="gramEnd"/>
      <w:r w:rsidRPr="00D07030">
        <w:rPr>
          <w:rFonts w:asciiTheme="majorBidi" w:hAnsiTheme="majorBidi" w:cstheme="majorBidi"/>
          <w:lang w:bidi="fa-IR"/>
        </w:rPr>
        <w:t xml:space="preserve"> t-test, the t-statistic is greater than 1.96, and the significance value is less than 0.05. Therefore, this factor is also significant and should remain in the model. Additionally, the values inside the blue circles represent the coefficient of determination, indicating the contribution of each component to the study. In other words, increasing productivity in production and execution processes and providing psychological comfort and preventing environmental stress explain more than 60% of the variations, while aesthetics and preserving architectural identity explain 17% of the total variations. This indicates that, currently, in the system of affordable housing supply based on cultural patterns, the primary focus is on productivity in production and execution processes due to the shortage of affordable housing, while the least attention is given to aesthetics and preserving architectural identity. Table 6 shows the factor loadings along with the t-test and the significance level of each factor.</w:t>
      </w:r>
    </w:p>
    <w:p w14:paraId="00E2A806" w14:textId="77777777" w:rsidR="00D07030" w:rsidRPr="00D07030" w:rsidRDefault="00D07030" w:rsidP="00D07030">
      <w:pPr>
        <w:spacing w:after="0" w:line="240" w:lineRule="auto"/>
        <w:contextualSpacing/>
        <w:jc w:val="both"/>
        <w:rPr>
          <w:rFonts w:asciiTheme="majorBidi" w:hAnsiTheme="majorBidi" w:cstheme="majorBidi"/>
          <w:lang w:bidi="fa-IR"/>
        </w:rPr>
      </w:pPr>
    </w:p>
    <w:p w14:paraId="223EC07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b/>
          <w:bCs/>
          <w:sz w:val="20"/>
          <w:szCs w:val="20"/>
          <w:lang w:bidi="fa-IR"/>
        </w:rPr>
        <w:t>Table (6): t-test for the drivers of affordable housing supply based on socio-cultural patterns</w:t>
      </w:r>
    </w:p>
    <w:tbl>
      <w:tblPr>
        <w:tblW w:w="0" w:type="auto"/>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5183"/>
        <w:gridCol w:w="1231"/>
        <w:gridCol w:w="1056"/>
        <w:gridCol w:w="990"/>
        <w:gridCol w:w="900"/>
      </w:tblGrid>
      <w:tr w:rsidR="00D07030" w:rsidRPr="00D07030" w14:paraId="3CDC2643" w14:textId="77777777" w:rsidTr="00D07030">
        <w:trPr>
          <w:tblHeader/>
        </w:trPr>
        <w:tc>
          <w:tcPr>
            <w:tcW w:w="0" w:type="auto"/>
            <w:tcMar>
              <w:top w:w="15" w:type="dxa"/>
              <w:left w:w="0" w:type="dxa"/>
              <w:bottom w:w="15" w:type="dxa"/>
              <w:right w:w="15" w:type="dxa"/>
            </w:tcMar>
            <w:vAlign w:val="center"/>
            <w:hideMark/>
          </w:tcPr>
          <w:p w14:paraId="5C6B19FB"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Factor</w:t>
            </w:r>
          </w:p>
        </w:tc>
        <w:tc>
          <w:tcPr>
            <w:tcW w:w="0" w:type="auto"/>
            <w:vAlign w:val="center"/>
            <w:hideMark/>
          </w:tcPr>
          <w:p w14:paraId="13D09039"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Factor Loading</w:t>
            </w:r>
          </w:p>
        </w:tc>
        <w:tc>
          <w:tcPr>
            <w:tcW w:w="1056" w:type="dxa"/>
            <w:vAlign w:val="center"/>
            <w:hideMark/>
          </w:tcPr>
          <w:p w14:paraId="43398C9C"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Standard Deviation</w:t>
            </w:r>
          </w:p>
        </w:tc>
        <w:tc>
          <w:tcPr>
            <w:tcW w:w="990" w:type="dxa"/>
            <w:vAlign w:val="center"/>
            <w:hideMark/>
          </w:tcPr>
          <w:p w14:paraId="11D41577"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t-statistic</w:t>
            </w:r>
          </w:p>
        </w:tc>
        <w:tc>
          <w:tcPr>
            <w:tcW w:w="900" w:type="dxa"/>
            <w:vAlign w:val="center"/>
            <w:hideMark/>
          </w:tcPr>
          <w:p w14:paraId="10483313"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p-value</w:t>
            </w:r>
          </w:p>
        </w:tc>
      </w:tr>
      <w:tr w:rsidR="00D07030" w:rsidRPr="00D07030" w14:paraId="7499AFDA" w14:textId="77777777" w:rsidTr="00D07030">
        <w:tc>
          <w:tcPr>
            <w:tcW w:w="0" w:type="auto"/>
            <w:tcMar>
              <w:top w:w="15" w:type="dxa"/>
              <w:left w:w="0" w:type="dxa"/>
              <w:bottom w:w="15" w:type="dxa"/>
              <w:right w:w="15" w:type="dxa"/>
            </w:tcMar>
            <w:vAlign w:val="center"/>
            <w:hideMark/>
          </w:tcPr>
          <w:p w14:paraId="64B4A15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Standardization and modularization of design and construction</w:t>
            </w:r>
          </w:p>
        </w:tc>
        <w:tc>
          <w:tcPr>
            <w:tcW w:w="0" w:type="auto"/>
            <w:vAlign w:val="center"/>
            <w:hideMark/>
          </w:tcPr>
          <w:p w14:paraId="009D9D7C"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0.635</w:t>
            </w:r>
          </w:p>
        </w:tc>
        <w:tc>
          <w:tcPr>
            <w:tcW w:w="1056" w:type="dxa"/>
            <w:vAlign w:val="center"/>
            <w:hideMark/>
          </w:tcPr>
          <w:p w14:paraId="39AF579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0.049</w:t>
            </w:r>
          </w:p>
        </w:tc>
        <w:tc>
          <w:tcPr>
            <w:tcW w:w="990" w:type="dxa"/>
            <w:vAlign w:val="center"/>
            <w:hideMark/>
          </w:tcPr>
          <w:p w14:paraId="16C028E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13.062</w:t>
            </w:r>
          </w:p>
        </w:tc>
        <w:tc>
          <w:tcPr>
            <w:tcW w:w="900" w:type="dxa"/>
            <w:vAlign w:val="center"/>
            <w:hideMark/>
          </w:tcPr>
          <w:p w14:paraId="64ED09B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27ED9638" w14:textId="77777777" w:rsidTr="00D07030">
        <w:tc>
          <w:tcPr>
            <w:tcW w:w="0" w:type="auto"/>
            <w:tcMar>
              <w:top w:w="15" w:type="dxa"/>
              <w:left w:w="0" w:type="dxa"/>
              <w:bottom w:w="15" w:type="dxa"/>
              <w:right w:w="15" w:type="dxa"/>
            </w:tcMar>
            <w:vAlign w:val="center"/>
            <w:hideMark/>
          </w:tcPr>
          <w:p w14:paraId="46FC354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passive ventilation and climatic strategies</w:t>
            </w:r>
          </w:p>
        </w:tc>
        <w:tc>
          <w:tcPr>
            <w:tcW w:w="0" w:type="auto"/>
            <w:vAlign w:val="center"/>
            <w:hideMark/>
          </w:tcPr>
          <w:p w14:paraId="5493F094"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0.655</w:t>
            </w:r>
          </w:p>
        </w:tc>
        <w:tc>
          <w:tcPr>
            <w:tcW w:w="1056" w:type="dxa"/>
            <w:vAlign w:val="center"/>
            <w:hideMark/>
          </w:tcPr>
          <w:p w14:paraId="4A81422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0.045</w:t>
            </w:r>
          </w:p>
        </w:tc>
        <w:tc>
          <w:tcPr>
            <w:tcW w:w="990" w:type="dxa"/>
            <w:vAlign w:val="center"/>
            <w:hideMark/>
          </w:tcPr>
          <w:p w14:paraId="5BD454B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14.359</w:t>
            </w:r>
          </w:p>
        </w:tc>
        <w:tc>
          <w:tcPr>
            <w:tcW w:w="900" w:type="dxa"/>
            <w:vAlign w:val="center"/>
            <w:hideMark/>
          </w:tcPr>
          <w:p w14:paraId="7BC3F72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6B99654C" w14:textId="77777777" w:rsidTr="00D07030">
        <w:tc>
          <w:tcPr>
            <w:tcW w:w="0" w:type="auto"/>
            <w:tcMar>
              <w:top w:w="15" w:type="dxa"/>
              <w:left w:w="0" w:type="dxa"/>
              <w:bottom w:w="15" w:type="dxa"/>
              <w:right w:w="15" w:type="dxa"/>
            </w:tcMar>
            <w:vAlign w:val="center"/>
            <w:hideMark/>
          </w:tcPr>
          <w:p w14:paraId="60A8B05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modern technologies in construction and design</w:t>
            </w:r>
          </w:p>
        </w:tc>
        <w:tc>
          <w:tcPr>
            <w:tcW w:w="0" w:type="auto"/>
            <w:vAlign w:val="center"/>
            <w:hideMark/>
          </w:tcPr>
          <w:p w14:paraId="4281FD2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0.594</w:t>
            </w:r>
          </w:p>
        </w:tc>
        <w:tc>
          <w:tcPr>
            <w:tcW w:w="1056" w:type="dxa"/>
            <w:vAlign w:val="center"/>
            <w:hideMark/>
          </w:tcPr>
          <w:p w14:paraId="0FDAA60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0.053</w:t>
            </w:r>
          </w:p>
        </w:tc>
        <w:tc>
          <w:tcPr>
            <w:tcW w:w="990" w:type="dxa"/>
            <w:vAlign w:val="center"/>
            <w:hideMark/>
          </w:tcPr>
          <w:p w14:paraId="5221207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11.117</w:t>
            </w:r>
          </w:p>
        </w:tc>
        <w:tc>
          <w:tcPr>
            <w:tcW w:w="900" w:type="dxa"/>
            <w:vAlign w:val="center"/>
            <w:hideMark/>
          </w:tcPr>
          <w:p w14:paraId="5BE7EDC4"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3DEE0A96" w14:textId="77777777" w:rsidTr="00D07030">
        <w:tc>
          <w:tcPr>
            <w:tcW w:w="0" w:type="auto"/>
            <w:tcMar>
              <w:top w:w="15" w:type="dxa"/>
              <w:left w:w="0" w:type="dxa"/>
              <w:bottom w:w="15" w:type="dxa"/>
              <w:right w:w="15" w:type="dxa"/>
            </w:tcMar>
            <w:vAlign w:val="center"/>
            <w:hideMark/>
          </w:tcPr>
          <w:p w14:paraId="76D0006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sustainable and recyclable materials</w:t>
            </w:r>
          </w:p>
        </w:tc>
        <w:tc>
          <w:tcPr>
            <w:tcW w:w="0" w:type="auto"/>
            <w:vAlign w:val="center"/>
            <w:hideMark/>
          </w:tcPr>
          <w:p w14:paraId="24AD647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0.628</w:t>
            </w:r>
          </w:p>
        </w:tc>
        <w:tc>
          <w:tcPr>
            <w:tcW w:w="1056" w:type="dxa"/>
            <w:vAlign w:val="center"/>
            <w:hideMark/>
          </w:tcPr>
          <w:p w14:paraId="2AF4D1E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0.049</w:t>
            </w:r>
          </w:p>
        </w:tc>
        <w:tc>
          <w:tcPr>
            <w:tcW w:w="990" w:type="dxa"/>
            <w:vAlign w:val="center"/>
            <w:hideMark/>
          </w:tcPr>
          <w:p w14:paraId="0D243646"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12.936</w:t>
            </w:r>
          </w:p>
        </w:tc>
        <w:tc>
          <w:tcPr>
            <w:tcW w:w="900" w:type="dxa"/>
            <w:vAlign w:val="center"/>
            <w:hideMark/>
          </w:tcPr>
          <w:p w14:paraId="4142E23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1AA9A502" w14:textId="77777777" w:rsidTr="00D07030">
        <w:tc>
          <w:tcPr>
            <w:tcW w:w="0" w:type="auto"/>
            <w:tcMar>
              <w:top w:w="15" w:type="dxa"/>
              <w:left w:w="0" w:type="dxa"/>
              <w:bottom w:w="15" w:type="dxa"/>
              <w:right w:w="15" w:type="dxa"/>
            </w:tcMar>
            <w:vAlign w:val="center"/>
            <w:hideMark/>
          </w:tcPr>
          <w:p w14:paraId="701900D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Increasing speed and productivity in production and execution processes</w:t>
            </w:r>
          </w:p>
        </w:tc>
        <w:tc>
          <w:tcPr>
            <w:tcW w:w="0" w:type="auto"/>
            <w:vAlign w:val="center"/>
            <w:hideMark/>
          </w:tcPr>
          <w:p w14:paraId="0A415A7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0.782</w:t>
            </w:r>
          </w:p>
        </w:tc>
        <w:tc>
          <w:tcPr>
            <w:tcW w:w="1056" w:type="dxa"/>
            <w:vAlign w:val="center"/>
            <w:hideMark/>
          </w:tcPr>
          <w:p w14:paraId="08379F7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0.034</w:t>
            </w:r>
          </w:p>
        </w:tc>
        <w:tc>
          <w:tcPr>
            <w:tcW w:w="990" w:type="dxa"/>
            <w:vAlign w:val="center"/>
            <w:hideMark/>
          </w:tcPr>
          <w:p w14:paraId="58ED0F6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22.912</w:t>
            </w:r>
          </w:p>
        </w:tc>
        <w:tc>
          <w:tcPr>
            <w:tcW w:w="900" w:type="dxa"/>
            <w:vAlign w:val="center"/>
            <w:hideMark/>
          </w:tcPr>
          <w:p w14:paraId="1974388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3A8F1E69" w14:textId="77777777" w:rsidTr="00D07030">
        <w:tc>
          <w:tcPr>
            <w:tcW w:w="0" w:type="auto"/>
            <w:tcMar>
              <w:top w:w="15" w:type="dxa"/>
              <w:left w:w="0" w:type="dxa"/>
              <w:bottom w:w="15" w:type="dxa"/>
              <w:right w:w="15" w:type="dxa"/>
            </w:tcMar>
            <w:vAlign w:val="center"/>
            <w:hideMark/>
          </w:tcPr>
          <w:p w14:paraId="792BEAE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Adaptability to user and family needs</w:t>
            </w:r>
          </w:p>
        </w:tc>
        <w:tc>
          <w:tcPr>
            <w:tcW w:w="0" w:type="auto"/>
            <w:vAlign w:val="center"/>
            <w:hideMark/>
          </w:tcPr>
          <w:p w14:paraId="24DFB46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0.723</w:t>
            </w:r>
          </w:p>
        </w:tc>
        <w:tc>
          <w:tcPr>
            <w:tcW w:w="1056" w:type="dxa"/>
            <w:vAlign w:val="center"/>
            <w:hideMark/>
          </w:tcPr>
          <w:p w14:paraId="3519940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0.043</w:t>
            </w:r>
          </w:p>
        </w:tc>
        <w:tc>
          <w:tcPr>
            <w:tcW w:w="990" w:type="dxa"/>
            <w:vAlign w:val="center"/>
            <w:hideMark/>
          </w:tcPr>
          <w:p w14:paraId="3151005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16.977</w:t>
            </w:r>
          </w:p>
        </w:tc>
        <w:tc>
          <w:tcPr>
            <w:tcW w:w="900" w:type="dxa"/>
            <w:vAlign w:val="center"/>
            <w:hideMark/>
          </w:tcPr>
          <w:p w14:paraId="0B864EF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43D4362B" w14:textId="77777777" w:rsidTr="00D07030">
        <w:tc>
          <w:tcPr>
            <w:tcW w:w="0" w:type="auto"/>
            <w:tcMar>
              <w:top w:w="15" w:type="dxa"/>
              <w:left w:w="0" w:type="dxa"/>
              <w:bottom w:w="15" w:type="dxa"/>
              <w:right w:w="15" w:type="dxa"/>
            </w:tcMar>
            <w:vAlign w:val="center"/>
            <w:hideMark/>
          </w:tcPr>
          <w:p w14:paraId="1F8E781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Flexibility in design and space variability</w:t>
            </w:r>
          </w:p>
        </w:tc>
        <w:tc>
          <w:tcPr>
            <w:tcW w:w="0" w:type="auto"/>
            <w:vAlign w:val="center"/>
            <w:hideMark/>
          </w:tcPr>
          <w:p w14:paraId="37A1CAF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0.574</w:t>
            </w:r>
          </w:p>
        </w:tc>
        <w:tc>
          <w:tcPr>
            <w:tcW w:w="1056" w:type="dxa"/>
            <w:vAlign w:val="center"/>
            <w:hideMark/>
          </w:tcPr>
          <w:p w14:paraId="54F36F6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0.061</w:t>
            </w:r>
          </w:p>
        </w:tc>
        <w:tc>
          <w:tcPr>
            <w:tcW w:w="990" w:type="dxa"/>
            <w:vAlign w:val="center"/>
            <w:hideMark/>
          </w:tcPr>
          <w:p w14:paraId="1A063CF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9.452</w:t>
            </w:r>
          </w:p>
        </w:tc>
        <w:tc>
          <w:tcPr>
            <w:tcW w:w="900" w:type="dxa"/>
            <w:vAlign w:val="center"/>
            <w:hideMark/>
          </w:tcPr>
          <w:p w14:paraId="7C5E2C3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0B89B417" w14:textId="77777777" w:rsidTr="00D07030">
        <w:tc>
          <w:tcPr>
            <w:tcW w:w="0" w:type="auto"/>
            <w:tcMar>
              <w:top w:w="15" w:type="dxa"/>
              <w:left w:w="0" w:type="dxa"/>
              <w:bottom w:w="15" w:type="dxa"/>
              <w:right w:w="15" w:type="dxa"/>
            </w:tcMar>
            <w:vAlign w:val="center"/>
            <w:hideMark/>
          </w:tcPr>
          <w:p w14:paraId="3F2EDBF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Safety and structural reinforcement</w:t>
            </w:r>
          </w:p>
        </w:tc>
        <w:tc>
          <w:tcPr>
            <w:tcW w:w="0" w:type="auto"/>
            <w:vAlign w:val="center"/>
            <w:hideMark/>
          </w:tcPr>
          <w:p w14:paraId="03B9BCD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0.647</w:t>
            </w:r>
          </w:p>
        </w:tc>
        <w:tc>
          <w:tcPr>
            <w:tcW w:w="1056" w:type="dxa"/>
            <w:vAlign w:val="center"/>
            <w:hideMark/>
          </w:tcPr>
          <w:p w14:paraId="078D843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0.049</w:t>
            </w:r>
          </w:p>
        </w:tc>
        <w:tc>
          <w:tcPr>
            <w:tcW w:w="990" w:type="dxa"/>
            <w:vAlign w:val="center"/>
            <w:hideMark/>
          </w:tcPr>
          <w:p w14:paraId="5B15966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12.955</w:t>
            </w:r>
          </w:p>
        </w:tc>
        <w:tc>
          <w:tcPr>
            <w:tcW w:w="900" w:type="dxa"/>
            <w:vAlign w:val="center"/>
            <w:hideMark/>
          </w:tcPr>
          <w:p w14:paraId="6637F39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3A40C64C" w14:textId="77777777" w:rsidTr="00D07030">
        <w:tc>
          <w:tcPr>
            <w:tcW w:w="0" w:type="auto"/>
            <w:tcMar>
              <w:top w:w="15" w:type="dxa"/>
              <w:left w:w="0" w:type="dxa"/>
              <w:bottom w:w="15" w:type="dxa"/>
              <w:right w:w="15" w:type="dxa"/>
            </w:tcMar>
            <w:vAlign w:val="center"/>
            <w:hideMark/>
          </w:tcPr>
          <w:p w14:paraId="3CCE98F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lastRenderedPageBreak/>
              <w:t>Optimization of energy consumption and reduction of environmental impacts</w:t>
            </w:r>
          </w:p>
        </w:tc>
        <w:tc>
          <w:tcPr>
            <w:tcW w:w="0" w:type="auto"/>
            <w:vAlign w:val="center"/>
            <w:hideMark/>
          </w:tcPr>
          <w:p w14:paraId="5CCF27E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0.633</w:t>
            </w:r>
          </w:p>
        </w:tc>
        <w:tc>
          <w:tcPr>
            <w:tcW w:w="1056" w:type="dxa"/>
            <w:vAlign w:val="center"/>
            <w:hideMark/>
          </w:tcPr>
          <w:p w14:paraId="123B940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0.054</w:t>
            </w:r>
          </w:p>
        </w:tc>
        <w:tc>
          <w:tcPr>
            <w:tcW w:w="990" w:type="dxa"/>
            <w:vAlign w:val="center"/>
            <w:hideMark/>
          </w:tcPr>
          <w:p w14:paraId="12AA9DB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11.712</w:t>
            </w:r>
          </w:p>
        </w:tc>
        <w:tc>
          <w:tcPr>
            <w:tcW w:w="900" w:type="dxa"/>
            <w:vAlign w:val="center"/>
            <w:hideMark/>
          </w:tcPr>
          <w:p w14:paraId="3671792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2FE0E83A" w14:textId="77777777" w:rsidTr="00D07030">
        <w:tc>
          <w:tcPr>
            <w:tcW w:w="0" w:type="auto"/>
            <w:tcMar>
              <w:top w:w="15" w:type="dxa"/>
              <w:left w:w="0" w:type="dxa"/>
              <w:bottom w:w="15" w:type="dxa"/>
              <w:right w:w="15" w:type="dxa"/>
            </w:tcMar>
            <w:vAlign w:val="center"/>
            <w:hideMark/>
          </w:tcPr>
          <w:p w14:paraId="62042D3F"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Optimization of energy costs and ventilation systems</w:t>
            </w:r>
          </w:p>
        </w:tc>
        <w:tc>
          <w:tcPr>
            <w:tcW w:w="0" w:type="auto"/>
            <w:vAlign w:val="center"/>
            <w:hideMark/>
          </w:tcPr>
          <w:p w14:paraId="5548A95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0.564</w:t>
            </w:r>
          </w:p>
        </w:tc>
        <w:tc>
          <w:tcPr>
            <w:tcW w:w="1056" w:type="dxa"/>
            <w:vAlign w:val="center"/>
            <w:hideMark/>
          </w:tcPr>
          <w:p w14:paraId="5F957E8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0.068</w:t>
            </w:r>
          </w:p>
        </w:tc>
        <w:tc>
          <w:tcPr>
            <w:tcW w:w="990" w:type="dxa"/>
            <w:vAlign w:val="center"/>
            <w:hideMark/>
          </w:tcPr>
          <w:p w14:paraId="052471B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8.303</w:t>
            </w:r>
          </w:p>
        </w:tc>
        <w:tc>
          <w:tcPr>
            <w:tcW w:w="900" w:type="dxa"/>
            <w:vAlign w:val="center"/>
            <w:hideMark/>
          </w:tcPr>
          <w:p w14:paraId="622B3D7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735313A9" w14:textId="77777777" w:rsidTr="00D07030">
        <w:tc>
          <w:tcPr>
            <w:tcW w:w="0" w:type="auto"/>
            <w:tcMar>
              <w:top w:w="15" w:type="dxa"/>
              <w:left w:w="0" w:type="dxa"/>
              <w:bottom w:w="15" w:type="dxa"/>
              <w:right w:w="15" w:type="dxa"/>
            </w:tcMar>
            <w:vAlign w:val="center"/>
            <w:hideMark/>
          </w:tcPr>
          <w:p w14:paraId="6239BA2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Providing psychological comfort and preventing environmental stress</w:t>
            </w:r>
          </w:p>
        </w:tc>
        <w:tc>
          <w:tcPr>
            <w:tcW w:w="0" w:type="auto"/>
            <w:vAlign w:val="center"/>
            <w:hideMark/>
          </w:tcPr>
          <w:p w14:paraId="5BA870F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0.811</w:t>
            </w:r>
          </w:p>
        </w:tc>
        <w:tc>
          <w:tcPr>
            <w:tcW w:w="1056" w:type="dxa"/>
            <w:vAlign w:val="center"/>
            <w:hideMark/>
          </w:tcPr>
          <w:p w14:paraId="6803AAE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0.038</w:t>
            </w:r>
          </w:p>
        </w:tc>
        <w:tc>
          <w:tcPr>
            <w:tcW w:w="990" w:type="dxa"/>
            <w:vAlign w:val="center"/>
            <w:hideMark/>
          </w:tcPr>
          <w:p w14:paraId="6FBFFF3C"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21.318</w:t>
            </w:r>
          </w:p>
        </w:tc>
        <w:tc>
          <w:tcPr>
            <w:tcW w:w="900" w:type="dxa"/>
            <w:vAlign w:val="center"/>
            <w:hideMark/>
          </w:tcPr>
          <w:p w14:paraId="33AF9E2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20C8777C" w14:textId="77777777" w:rsidTr="00D07030">
        <w:tc>
          <w:tcPr>
            <w:tcW w:w="0" w:type="auto"/>
            <w:tcMar>
              <w:top w:w="15" w:type="dxa"/>
              <w:left w:w="0" w:type="dxa"/>
              <w:bottom w:w="15" w:type="dxa"/>
              <w:right w:w="15" w:type="dxa"/>
            </w:tcMar>
            <w:vAlign w:val="center"/>
            <w:hideMark/>
          </w:tcPr>
          <w:p w14:paraId="55261DE6"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Providing natural light and optimal use of sunlight</w:t>
            </w:r>
          </w:p>
        </w:tc>
        <w:tc>
          <w:tcPr>
            <w:tcW w:w="0" w:type="auto"/>
            <w:vAlign w:val="center"/>
            <w:hideMark/>
          </w:tcPr>
          <w:p w14:paraId="3255E2C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0.549</w:t>
            </w:r>
          </w:p>
        </w:tc>
        <w:tc>
          <w:tcPr>
            <w:tcW w:w="1056" w:type="dxa"/>
            <w:vAlign w:val="center"/>
            <w:hideMark/>
          </w:tcPr>
          <w:p w14:paraId="23EA17E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0.066</w:t>
            </w:r>
          </w:p>
        </w:tc>
        <w:tc>
          <w:tcPr>
            <w:tcW w:w="990" w:type="dxa"/>
            <w:vAlign w:val="center"/>
            <w:hideMark/>
          </w:tcPr>
          <w:p w14:paraId="66A2EAE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8.451</w:t>
            </w:r>
          </w:p>
        </w:tc>
        <w:tc>
          <w:tcPr>
            <w:tcW w:w="900" w:type="dxa"/>
            <w:vAlign w:val="center"/>
            <w:hideMark/>
          </w:tcPr>
          <w:p w14:paraId="131B7E4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0596ADF4" w14:textId="77777777" w:rsidTr="00D07030">
        <w:tc>
          <w:tcPr>
            <w:tcW w:w="0" w:type="auto"/>
            <w:tcMar>
              <w:top w:w="15" w:type="dxa"/>
              <w:left w:w="0" w:type="dxa"/>
              <w:bottom w:w="15" w:type="dxa"/>
              <w:right w:w="15" w:type="dxa"/>
            </w:tcMar>
            <w:vAlign w:val="center"/>
            <w:hideMark/>
          </w:tcPr>
          <w:p w14:paraId="459C960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Strengthening neighborhood relationships and social interaction</w:t>
            </w:r>
          </w:p>
        </w:tc>
        <w:tc>
          <w:tcPr>
            <w:tcW w:w="0" w:type="auto"/>
            <w:vAlign w:val="center"/>
            <w:hideMark/>
          </w:tcPr>
          <w:p w14:paraId="23347D6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0.595</w:t>
            </w:r>
          </w:p>
        </w:tc>
        <w:tc>
          <w:tcPr>
            <w:tcW w:w="1056" w:type="dxa"/>
            <w:vAlign w:val="center"/>
            <w:hideMark/>
          </w:tcPr>
          <w:p w14:paraId="2FBBEA14"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0.059</w:t>
            </w:r>
          </w:p>
        </w:tc>
        <w:tc>
          <w:tcPr>
            <w:tcW w:w="990" w:type="dxa"/>
            <w:vAlign w:val="center"/>
            <w:hideMark/>
          </w:tcPr>
          <w:p w14:paraId="570FDF4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10.214</w:t>
            </w:r>
          </w:p>
        </w:tc>
        <w:tc>
          <w:tcPr>
            <w:tcW w:w="900" w:type="dxa"/>
            <w:vAlign w:val="center"/>
            <w:hideMark/>
          </w:tcPr>
          <w:p w14:paraId="16F6653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715F12F0" w14:textId="77777777" w:rsidTr="00D07030">
        <w:tc>
          <w:tcPr>
            <w:tcW w:w="0" w:type="auto"/>
            <w:tcMar>
              <w:top w:w="15" w:type="dxa"/>
              <w:left w:w="0" w:type="dxa"/>
              <w:bottom w:w="15" w:type="dxa"/>
              <w:right w:w="15" w:type="dxa"/>
            </w:tcMar>
            <w:vAlign w:val="center"/>
            <w:hideMark/>
          </w:tcPr>
          <w:p w14:paraId="009C267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Aesthetics and preserving architectural identity</w:t>
            </w:r>
          </w:p>
        </w:tc>
        <w:tc>
          <w:tcPr>
            <w:tcW w:w="0" w:type="auto"/>
            <w:vAlign w:val="center"/>
            <w:hideMark/>
          </w:tcPr>
          <w:p w14:paraId="017D296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0.408</w:t>
            </w:r>
          </w:p>
        </w:tc>
        <w:tc>
          <w:tcPr>
            <w:tcW w:w="1056" w:type="dxa"/>
            <w:vAlign w:val="center"/>
            <w:hideMark/>
          </w:tcPr>
          <w:p w14:paraId="39AA43C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0.071</w:t>
            </w:r>
          </w:p>
        </w:tc>
        <w:tc>
          <w:tcPr>
            <w:tcW w:w="990" w:type="dxa"/>
            <w:vAlign w:val="center"/>
            <w:hideMark/>
          </w:tcPr>
          <w:p w14:paraId="53F6720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5.800</w:t>
            </w:r>
          </w:p>
        </w:tc>
        <w:tc>
          <w:tcPr>
            <w:tcW w:w="900" w:type="dxa"/>
            <w:vAlign w:val="center"/>
            <w:hideMark/>
          </w:tcPr>
          <w:p w14:paraId="3081748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797E6FBF" w14:textId="77777777" w:rsidTr="00D07030">
        <w:tc>
          <w:tcPr>
            <w:tcW w:w="0" w:type="auto"/>
            <w:tcMar>
              <w:top w:w="15" w:type="dxa"/>
              <w:left w:w="0" w:type="dxa"/>
              <w:bottom w:w="15" w:type="dxa"/>
              <w:right w:w="15" w:type="dxa"/>
            </w:tcMar>
            <w:vAlign w:val="center"/>
            <w:hideMark/>
          </w:tcPr>
          <w:p w14:paraId="6766631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Cost savings in construction and maintenance</w:t>
            </w:r>
          </w:p>
        </w:tc>
        <w:tc>
          <w:tcPr>
            <w:tcW w:w="0" w:type="auto"/>
            <w:vAlign w:val="center"/>
            <w:hideMark/>
          </w:tcPr>
          <w:p w14:paraId="5DF55F5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0.672</w:t>
            </w:r>
          </w:p>
        </w:tc>
        <w:tc>
          <w:tcPr>
            <w:tcW w:w="1056" w:type="dxa"/>
            <w:vAlign w:val="center"/>
            <w:hideMark/>
          </w:tcPr>
          <w:p w14:paraId="2956BC6F"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0.043</w:t>
            </w:r>
          </w:p>
        </w:tc>
        <w:tc>
          <w:tcPr>
            <w:tcW w:w="990" w:type="dxa"/>
            <w:vAlign w:val="center"/>
            <w:hideMark/>
          </w:tcPr>
          <w:p w14:paraId="7F87BA86"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15.660</w:t>
            </w:r>
          </w:p>
        </w:tc>
        <w:tc>
          <w:tcPr>
            <w:tcW w:w="900" w:type="dxa"/>
            <w:vAlign w:val="center"/>
            <w:hideMark/>
          </w:tcPr>
          <w:p w14:paraId="150B9C7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599462CE" w14:textId="77777777" w:rsidTr="00D07030">
        <w:tc>
          <w:tcPr>
            <w:tcW w:w="0" w:type="auto"/>
            <w:tcMar>
              <w:top w:w="15" w:type="dxa"/>
              <w:left w:w="0" w:type="dxa"/>
              <w:bottom w:w="15" w:type="dxa"/>
              <w:right w:w="15" w:type="dxa"/>
            </w:tcMar>
            <w:vAlign w:val="center"/>
            <w:hideMark/>
          </w:tcPr>
          <w:p w14:paraId="0291EF8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Future-oriented design and expandability</w:t>
            </w:r>
          </w:p>
        </w:tc>
        <w:tc>
          <w:tcPr>
            <w:tcW w:w="0" w:type="auto"/>
            <w:vAlign w:val="center"/>
            <w:hideMark/>
          </w:tcPr>
          <w:p w14:paraId="339E81F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0.610</w:t>
            </w:r>
          </w:p>
        </w:tc>
        <w:tc>
          <w:tcPr>
            <w:tcW w:w="1056" w:type="dxa"/>
            <w:vAlign w:val="center"/>
            <w:hideMark/>
          </w:tcPr>
          <w:p w14:paraId="62ED4AA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0.060</w:t>
            </w:r>
          </w:p>
        </w:tc>
        <w:tc>
          <w:tcPr>
            <w:tcW w:w="990" w:type="dxa"/>
            <w:vAlign w:val="center"/>
            <w:hideMark/>
          </w:tcPr>
          <w:p w14:paraId="4456030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10.216</w:t>
            </w:r>
          </w:p>
        </w:tc>
        <w:tc>
          <w:tcPr>
            <w:tcW w:w="900" w:type="dxa"/>
            <w:vAlign w:val="center"/>
            <w:hideMark/>
          </w:tcPr>
          <w:p w14:paraId="32BEB78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00011202" w14:textId="77777777" w:rsidTr="00D07030">
        <w:tc>
          <w:tcPr>
            <w:tcW w:w="0" w:type="auto"/>
            <w:tcMar>
              <w:top w:w="15" w:type="dxa"/>
              <w:left w:w="0" w:type="dxa"/>
              <w:bottom w:w="15" w:type="dxa"/>
              <w:right w:w="15" w:type="dxa"/>
            </w:tcMar>
            <w:vAlign w:val="center"/>
            <w:hideMark/>
          </w:tcPr>
          <w:p w14:paraId="2C9F56B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Design of multipurpose and flexible spaces</w:t>
            </w:r>
          </w:p>
        </w:tc>
        <w:tc>
          <w:tcPr>
            <w:tcW w:w="0" w:type="auto"/>
            <w:vAlign w:val="center"/>
            <w:hideMark/>
          </w:tcPr>
          <w:p w14:paraId="77CEC18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0.572</w:t>
            </w:r>
          </w:p>
        </w:tc>
        <w:tc>
          <w:tcPr>
            <w:tcW w:w="1056" w:type="dxa"/>
            <w:vAlign w:val="center"/>
            <w:hideMark/>
          </w:tcPr>
          <w:p w14:paraId="51E385C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0.060</w:t>
            </w:r>
          </w:p>
        </w:tc>
        <w:tc>
          <w:tcPr>
            <w:tcW w:w="990" w:type="dxa"/>
            <w:vAlign w:val="center"/>
            <w:hideMark/>
          </w:tcPr>
          <w:p w14:paraId="2090EC0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9.587</w:t>
            </w:r>
          </w:p>
        </w:tc>
        <w:tc>
          <w:tcPr>
            <w:tcW w:w="900" w:type="dxa"/>
            <w:vAlign w:val="center"/>
            <w:hideMark/>
          </w:tcPr>
          <w:p w14:paraId="72BAB6B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146C7294" w14:textId="77777777" w:rsidTr="00D07030">
        <w:tc>
          <w:tcPr>
            <w:tcW w:w="0" w:type="auto"/>
            <w:tcMar>
              <w:top w:w="15" w:type="dxa"/>
              <w:left w:w="0" w:type="dxa"/>
              <w:bottom w:w="15" w:type="dxa"/>
              <w:right w:w="15" w:type="dxa"/>
            </w:tcMar>
            <w:vAlign w:val="center"/>
            <w:hideMark/>
          </w:tcPr>
          <w:p w14:paraId="441C83C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Coordination between structural and mechanical systems</w:t>
            </w:r>
          </w:p>
        </w:tc>
        <w:tc>
          <w:tcPr>
            <w:tcW w:w="0" w:type="auto"/>
            <w:vAlign w:val="center"/>
            <w:hideMark/>
          </w:tcPr>
          <w:p w14:paraId="14F789B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0.660</w:t>
            </w:r>
          </w:p>
        </w:tc>
        <w:tc>
          <w:tcPr>
            <w:tcW w:w="1056" w:type="dxa"/>
            <w:vAlign w:val="center"/>
            <w:hideMark/>
          </w:tcPr>
          <w:p w14:paraId="7769EEF7"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0.055</w:t>
            </w:r>
          </w:p>
        </w:tc>
        <w:tc>
          <w:tcPr>
            <w:tcW w:w="990" w:type="dxa"/>
            <w:vAlign w:val="center"/>
            <w:hideMark/>
          </w:tcPr>
          <w:p w14:paraId="3601654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12.115</w:t>
            </w:r>
          </w:p>
        </w:tc>
        <w:tc>
          <w:tcPr>
            <w:tcW w:w="900" w:type="dxa"/>
            <w:vAlign w:val="center"/>
            <w:hideMark/>
          </w:tcPr>
          <w:p w14:paraId="6E963B4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10A58E45" w14:textId="77777777" w:rsidTr="00D07030">
        <w:tc>
          <w:tcPr>
            <w:tcW w:w="0" w:type="auto"/>
            <w:tcMar>
              <w:top w:w="15" w:type="dxa"/>
              <w:left w:w="0" w:type="dxa"/>
              <w:bottom w:w="15" w:type="dxa"/>
              <w:right w:w="15" w:type="dxa"/>
            </w:tcMar>
            <w:vAlign w:val="center"/>
            <w:hideMark/>
          </w:tcPr>
          <w:p w14:paraId="1F74475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Reduction of environmental impacts during construction and operation</w:t>
            </w:r>
          </w:p>
        </w:tc>
        <w:tc>
          <w:tcPr>
            <w:tcW w:w="0" w:type="auto"/>
            <w:vAlign w:val="center"/>
            <w:hideMark/>
          </w:tcPr>
          <w:p w14:paraId="4AE1E1E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0.497</w:t>
            </w:r>
          </w:p>
        </w:tc>
        <w:tc>
          <w:tcPr>
            <w:tcW w:w="1056" w:type="dxa"/>
            <w:vAlign w:val="center"/>
            <w:hideMark/>
          </w:tcPr>
          <w:p w14:paraId="56A4E43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0.075</w:t>
            </w:r>
          </w:p>
        </w:tc>
        <w:tc>
          <w:tcPr>
            <w:tcW w:w="990" w:type="dxa"/>
            <w:vAlign w:val="center"/>
            <w:hideMark/>
          </w:tcPr>
          <w:p w14:paraId="0ED4D94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6.613</w:t>
            </w:r>
          </w:p>
        </w:tc>
        <w:tc>
          <w:tcPr>
            <w:tcW w:w="900" w:type="dxa"/>
            <w:vAlign w:val="center"/>
            <w:hideMark/>
          </w:tcPr>
          <w:p w14:paraId="169FEF2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1045E8D1" w14:textId="77777777" w:rsidTr="00D07030">
        <w:tc>
          <w:tcPr>
            <w:tcW w:w="0" w:type="auto"/>
            <w:tcMar>
              <w:top w:w="15" w:type="dxa"/>
              <w:left w:w="0" w:type="dxa"/>
              <w:bottom w:w="15" w:type="dxa"/>
              <w:right w:w="15" w:type="dxa"/>
            </w:tcMar>
            <w:vAlign w:val="center"/>
            <w:hideMark/>
          </w:tcPr>
          <w:p w14:paraId="3A4FB94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Reduction of construction waste and waste management</w:t>
            </w:r>
          </w:p>
        </w:tc>
        <w:tc>
          <w:tcPr>
            <w:tcW w:w="0" w:type="auto"/>
            <w:vAlign w:val="center"/>
            <w:hideMark/>
          </w:tcPr>
          <w:p w14:paraId="1F835B7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0.573</w:t>
            </w:r>
          </w:p>
        </w:tc>
        <w:tc>
          <w:tcPr>
            <w:tcW w:w="1056" w:type="dxa"/>
            <w:vAlign w:val="center"/>
            <w:hideMark/>
          </w:tcPr>
          <w:p w14:paraId="0D59B8EF"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0.058</w:t>
            </w:r>
          </w:p>
        </w:tc>
        <w:tc>
          <w:tcPr>
            <w:tcW w:w="990" w:type="dxa"/>
            <w:vAlign w:val="center"/>
            <w:hideMark/>
          </w:tcPr>
          <w:p w14:paraId="4618593A"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9.967</w:t>
            </w:r>
          </w:p>
        </w:tc>
        <w:tc>
          <w:tcPr>
            <w:tcW w:w="900" w:type="dxa"/>
            <w:vAlign w:val="center"/>
            <w:hideMark/>
          </w:tcPr>
          <w:p w14:paraId="2F23ECF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02686509" w14:textId="77777777" w:rsidTr="00D07030">
        <w:tc>
          <w:tcPr>
            <w:tcW w:w="0" w:type="auto"/>
            <w:tcMar>
              <w:top w:w="15" w:type="dxa"/>
              <w:left w:w="0" w:type="dxa"/>
              <w:bottom w:w="15" w:type="dxa"/>
              <w:right w:w="15" w:type="dxa"/>
            </w:tcMar>
            <w:vAlign w:val="center"/>
            <w:hideMark/>
          </w:tcPr>
          <w:p w14:paraId="650158CA"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Reducing dependence on human labor</w:t>
            </w:r>
          </w:p>
        </w:tc>
        <w:tc>
          <w:tcPr>
            <w:tcW w:w="0" w:type="auto"/>
            <w:vAlign w:val="center"/>
            <w:hideMark/>
          </w:tcPr>
          <w:p w14:paraId="7FB8266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0.542</w:t>
            </w:r>
          </w:p>
        </w:tc>
        <w:tc>
          <w:tcPr>
            <w:tcW w:w="1056" w:type="dxa"/>
            <w:vAlign w:val="center"/>
            <w:hideMark/>
          </w:tcPr>
          <w:p w14:paraId="56A73D2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0.068</w:t>
            </w:r>
          </w:p>
        </w:tc>
        <w:tc>
          <w:tcPr>
            <w:tcW w:w="990" w:type="dxa"/>
            <w:vAlign w:val="center"/>
            <w:hideMark/>
          </w:tcPr>
          <w:p w14:paraId="68E0D58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7.936</w:t>
            </w:r>
          </w:p>
        </w:tc>
        <w:tc>
          <w:tcPr>
            <w:tcW w:w="900" w:type="dxa"/>
            <w:vAlign w:val="center"/>
            <w:hideMark/>
          </w:tcPr>
          <w:p w14:paraId="146BB0C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r w:rsidR="00D07030" w:rsidRPr="00D07030" w14:paraId="28A09483" w14:textId="77777777" w:rsidTr="00D07030">
        <w:tc>
          <w:tcPr>
            <w:tcW w:w="0" w:type="auto"/>
            <w:tcMar>
              <w:top w:w="15" w:type="dxa"/>
              <w:left w:w="0" w:type="dxa"/>
              <w:bottom w:w="15" w:type="dxa"/>
              <w:right w:w="15" w:type="dxa"/>
            </w:tcMar>
            <w:vAlign w:val="center"/>
            <w:hideMark/>
          </w:tcPr>
          <w:p w14:paraId="79F8AEF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High quality of residential space and providing occupant comfort</w:t>
            </w:r>
          </w:p>
        </w:tc>
        <w:tc>
          <w:tcPr>
            <w:tcW w:w="0" w:type="auto"/>
            <w:vAlign w:val="center"/>
            <w:hideMark/>
          </w:tcPr>
          <w:p w14:paraId="545DD38A"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0.498</w:t>
            </w:r>
          </w:p>
        </w:tc>
        <w:tc>
          <w:tcPr>
            <w:tcW w:w="1056" w:type="dxa"/>
            <w:vAlign w:val="center"/>
            <w:hideMark/>
          </w:tcPr>
          <w:p w14:paraId="2E892562"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0.059</w:t>
            </w:r>
          </w:p>
        </w:tc>
        <w:tc>
          <w:tcPr>
            <w:tcW w:w="990" w:type="dxa"/>
            <w:vAlign w:val="center"/>
            <w:hideMark/>
          </w:tcPr>
          <w:p w14:paraId="5E6BE8A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8.545</w:t>
            </w:r>
          </w:p>
        </w:tc>
        <w:tc>
          <w:tcPr>
            <w:tcW w:w="900" w:type="dxa"/>
            <w:vAlign w:val="center"/>
            <w:hideMark/>
          </w:tcPr>
          <w:p w14:paraId="6CCA515F"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0.000</w:t>
            </w:r>
          </w:p>
        </w:tc>
      </w:tr>
    </w:tbl>
    <w:p w14:paraId="7CCC03E6" w14:textId="77777777" w:rsidR="00D07030" w:rsidRDefault="00D07030" w:rsidP="00D07030">
      <w:pPr>
        <w:spacing w:after="0" w:line="240" w:lineRule="auto"/>
        <w:contextualSpacing/>
        <w:jc w:val="both"/>
        <w:rPr>
          <w:rFonts w:asciiTheme="majorBidi" w:hAnsiTheme="majorBidi" w:cstheme="majorBidi"/>
          <w:sz w:val="20"/>
          <w:szCs w:val="20"/>
          <w:lang w:bidi="fa-IR"/>
        </w:rPr>
      </w:pPr>
    </w:p>
    <w:p w14:paraId="336E27C1" w14:textId="0E7D6D05"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According to Table (6), all factor loadings are greater than or close to 0.5, the standard deviations are within an appropriate range, and the t-statistics are greater than 1.96. The significance values are less than 0.05, indicating that all factors are significant. This means that when aiming to supply affordable housing based on socio-cultural patterns, factors such as increasing productivity in production and execution processes, providing psychological comfort, and preventing environmental stress should be prioritized, followed by other criteria.</w:t>
      </w:r>
    </w:p>
    <w:p w14:paraId="04D36C21" w14:textId="77777777" w:rsidR="000037CA" w:rsidRDefault="00D07030" w:rsidP="000037CA">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 xml:space="preserve">Next, it is necessary to evaluate the overall model, which includes both the measurement and structural parts simultaneously. For this purpose, the Goodness of Fit (GOF) index, which pertains to the overall structural equation model, is used. The values 0.01, 0.25, and 0.36 are considered weak, moderate, and strong GOF values, respectively. If the calculated GOF is 0.01 or close to it, the overall fit of the model is weak, and the relationships between the constructs of the model need to be revised. Similarly, for the other two GOF values (0.25 for moderate fit and 0.36 for strong fit), this guideline applies. </w:t>
      </w:r>
    </w:p>
    <w:p w14:paraId="765FDACA" w14:textId="68901F90" w:rsidR="00D07030" w:rsidRPr="00D07030" w:rsidRDefault="00D07030" w:rsidP="000037CA">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w:t>
      </w:r>
      <w:r w:rsidR="000037CA">
        <w:rPr>
          <w:rFonts w:asciiTheme="majorBidi" w:hAnsiTheme="majorBidi" w:cstheme="majorBidi"/>
          <w:noProof/>
          <w:sz w:val="20"/>
          <w:szCs w:val="20"/>
          <w:lang w:bidi="fa-IR"/>
        </w:rPr>
        <w:drawing>
          <wp:inline distT="0" distB="0" distL="0" distR="0" wp14:anchorId="1DC12CAC" wp14:editId="291257DF">
            <wp:extent cx="1233915" cy="220248"/>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138" cy="227249"/>
                    </a:xfrm>
                    <a:prstGeom prst="rect">
                      <a:avLst/>
                    </a:prstGeom>
                    <a:noFill/>
                  </pic:spPr>
                </pic:pic>
              </a:graphicData>
            </a:graphic>
          </wp:inline>
        </w:drawing>
      </w:r>
    </w:p>
    <w:p w14:paraId="565968AC" w14:textId="39BE7967" w:rsid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The average communality is derived from the average of the shared values of the first-order latent variables in the model. The communality and R2</w:t>
      </w:r>
      <w:r w:rsidRPr="00D07030">
        <w:rPr>
          <w:rFonts w:asciiTheme="majorBidi" w:hAnsiTheme="majorBidi" w:cstheme="majorBidi"/>
          <w:i/>
          <w:iCs/>
          <w:sz w:val="20"/>
          <w:szCs w:val="20"/>
          <w:lang w:bidi="fa-IR"/>
        </w:rPr>
        <w:t>R</w:t>
      </w:r>
      <w:r w:rsidRPr="00D07030">
        <w:rPr>
          <w:rFonts w:asciiTheme="majorBidi" w:hAnsiTheme="majorBidi" w:cstheme="majorBidi"/>
          <w:sz w:val="20"/>
          <w:szCs w:val="20"/>
          <w:lang w:bidi="fa-IR"/>
        </w:rPr>
        <w:t>2 values are provided in Table 7.</w:t>
      </w:r>
    </w:p>
    <w:p w14:paraId="5B443F2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p>
    <w:p w14:paraId="3F1180E6" w14:textId="7F6232F5"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b/>
          <w:bCs/>
          <w:sz w:val="20"/>
          <w:szCs w:val="20"/>
          <w:lang w:bidi="fa-IR"/>
        </w:rPr>
        <w:t>Table (7): Communality and R</w:t>
      </w:r>
      <w:r w:rsidRPr="00D07030">
        <w:rPr>
          <w:rFonts w:asciiTheme="majorBidi" w:hAnsiTheme="majorBidi" w:cstheme="majorBidi"/>
          <w:b/>
          <w:bCs/>
          <w:sz w:val="20"/>
          <w:szCs w:val="20"/>
          <w:vertAlign w:val="superscript"/>
          <w:lang w:bidi="fa-IR"/>
        </w:rPr>
        <w:t>2</w:t>
      </w:r>
      <w:r w:rsidR="00186732">
        <w:rPr>
          <w:rFonts w:asciiTheme="majorBidi" w:hAnsiTheme="majorBidi" w:cstheme="majorBidi"/>
          <w:b/>
          <w:bCs/>
          <w:sz w:val="20"/>
          <w:szCs w:val="20"/>
          <w:lang w:bidi="fa-IR"/>
        </w:rPr>
        <w:t xml:space="preserve"> </w:t>
      </w:r>
      <w:r w:rsidRPr="00D07030">
        <w:rPr>
          <w:rFonts w:asciiTheme="majorBidi" w:hAnsiTheme="majorBidi" w:cstheme="majorBidi"/>
          <w:b/>
          <w:bCs/>
          <w:sz w:val="20"/>
          <w:szCs w:val="20"/>
          <w:lang w:bidi="fa-IR"/>
        </w:rPr>
        <w:t>values of the research variables</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6198"/>
        <w:gridCol w:w="830"/>
        <w:gridCol w:w="830"/>
        <w:gridCol w:w="1502"/>
      </w:tblGrid>
      <w:tr w:rsidR="00186732" w:rsidRPr="00D07030" w14:paraId="47863728" w14:textId="77777777" w:rsidTr="00D07030">
        <w:trPr>
          <w:tblHeader/>
          <w:jc w:val="center"/>
        </w:trPr>
        <w:tc>
          <w:tcPr>
            <w:tcW w:w="0" w:type="auto"/>
            <w:tcMar>
              <w:top w:w="15" w:type="dxa"/>
              <w:left w:w="0" w:type="dxa"/>
              <w:bottom w:w="15" w:type="dxa"/>
              <w:right w:w="15" w:type="dxa"/>
            </w:tcMar>
            <w:vAlign w:val="center"/>
            <w:hideMark/>
          </w:tcPr>
          <w:p w14:paraId="1D8ADF68"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Factor</w:t>
            </w:r>
          </w:p>
        </w:tc>
        <w:tc>
          <w:tcPr>
            <w:tcW w:w="0" w:type="auto"/>
            <w:vAlign w:val="center"/>
            <w:hideMark/>
          </w:tcPr>
          <w:p w14:paraId="73A9692D"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SSO</w:t>
            </w:r>
          </w:p>
        </w:tc>
        <w:tc>
          <w:tcPr>
            <w:tcW w:w="0" w:type="auto"/>
            <w:vAlign w:val="center"/>
            <w:hideMark/>
          </w:tcPr>
          <w:p w14:paraId="4534DFBB" w14:textId="77777777"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SSE</w:t>
            </w:r>
          </w:p>
        </w:tc>
        <w:tc>
          <w:tcPr>
            <w:tcW w:w="0" w:type="auto"/>
            <w:vAlign w:val="center"/>
            <w:hideMark/>
          </w:tcPr>
          <w:p w14:paraId="1877D07E" w14:textId="2BFB75DF" w:rsidR="00D07030" w:rsidRPr="00D07030" w:rsidRDefault="00D07030" w:rsidP="00D07030">
            <w:pPr>
              <w:spacing w:after="0" w:line="240" w:lineRule="auto"/>
              <w:contextualSpacing/>
              <w:jc w:val="both"/>
              <w:rPr>
                <w:rFonts w:asciiTheme="majorBidi" w:hAnsiTheme="majorBidi" w:cstheme="majorBidi"/>
                <w:b/>
                <w:bCs/>
                <w:sz w:val="20"/>
                <w:szCs w:val="20"/>
                <w:lang w:bidi="fa-IR"/>
              </w:rPr>
            </w:pPr>
            <w:r w:rsidRPr="00D07030">
              <w:rPr>
                <w:rFonts w:asciiTheme="majorBidi" w:hAnsiTheme="majorBidi" w:cstheme="majorBidi"/>
                <w:b/>
                <w:bCs/>
                <w:sz w:val="20"/>
                <w:szCs w:val="20"/>
                <w:lang w:bidi="fa-IR"/>
              </w:rPr>
              <w:t>Q</w:t>
            </w:r>
            <w:r w:rsidRPr="00D07030">
              <w:rPr>
                <w:rFonts w:asciiTheme="majorBidi" w:hAnsiTheme="majorBidi" w:cstheme="majorBidi"/>
                <w:b/>
                <w:bCs/>
                <w:sz w:val="20"/>
                <w:szCs w:val="20"/>
                <w:vertAlign w:val="subscript"/>
                <w:lang w:bidi="fa-IR"/>
              </w:rPr>
              <w:t>2</w:t>
            </w:r>
            <w:r w:rsidRPr="00D07030">
              <w:rPr>
                <w:rFonts w:asciiTheme="majorBidi" w:hAnsiTheme="majorBidi" w:cstheme="majorBidi"/>
                <w:b/>
                <w:bCs/>
                <w:sz w:val="20"/>
                <w:szCs w:val="20"/>
                <w:lang w:bidi="fa-IR"/>
              </w:rPr>
              <w:t>(=1−SSE/SSO)</w:t>
            </w:r>
          </w:p>
        </w:tc>
      </w:tr>
      <w:tr w:rsidR="00186732" w:rsidRPr="00D07030" w14:paraId="4452042E" w14:textId="77777777" w:rsidTr="00D07030">
        <w:trPr>
          <w:jc w:val="center"/>
        </w:trPr>
        <w:tc>
          <w:tcPr>
            <w:tcW w:w="0" w:type="auto"/>
            <w:tcMar>
              <w:top w:w="15" w:type="dxa"/>
              <w:left w:w="0" w:type="dxa"/>
              <w:bottom w:w="15" w:type="dxa"/>
              <w:right w:w="15" w:type="dxa"/>
            </w:tcMar>
            <w:vAlign w:val="center"/>
            <w:hideMark/>
          </w:tcPr>
          <w:p w14:paraId="02FEDB04"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Standardization and modularization of design and construction</w:t>
            </w:r>
          </w:p>
        </w:tc>
        <w:tc>
          <w:tcPr>
            <w:tcW w:w="0" w:type="auto"/>
            <w:vAlign w:val="center"/>
            <w:hideMark/>
          </w:tcPr>
          <w:p w14:paraId="0624E7F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50E4D65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92.745</w:t>
            </w:r>
          </w:p>
        </w:tc>
        <w:tc>
          <w:tcPr>
            <w:tcW w:w="0" w:type="auto"/>
            <w:vAlign w:val="center"/>
            <w:hideMark/>
          </w:tcPr>
          <w:p w14:paraId="75FEA02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0.394</w:t>
            </w:r>
          </w:p>
        </w:tc>
      </w:tr>
      <w:tr w:rsidR="00186732" w:rsidRPr="00D07030" w14:paraId="4E4DE8DD" w14:textId="77777777" w:rsidTr="00D07030">
        <w:trPr>
          <w:jc w:val="center"/>
        </w:trPr>
        <w:tc>
          <w:tcPr>
            <w:tcW w:w="0" w:type="auto"/>
            <w:tcMar>
              <w:top w:w="15" w:type="dxa"/>
              <w:left w:w="0" w:type="dxa"/>
              <w:bottom w:w="15" w:type="dxa"/>
              <w:right w:w="15" w:type="dxa"/>
            </w:tcMar>
            <w:vAlign w:val="center"/>
            <w:hideMark/>
          </w:tcPr>
          <w:p w14:paraId="19772BA9"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passive ventilation and climatic strategies</w:t>
            </w:r>
          </w:p>
        </w:tc>
        <w:tc>
          <w:tcPr>
            <w:tcW w:w="0" w:type="auto"/>
            <w:vAlign w:val="center"/>
            <w:hideMark/>
          </w:tcPr>
          <w:p w14:paraId="0BD2A8C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2BA248A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89.494</w:t>
            </w:r>
          </w:p>
        </w:tc>
        <w:tc>
          <w:tcPr>
            <w:tcW w:w="0" w:type="auto"/>
            <w:vAlign w:val="center"/>
            <w:hideMark/>
          </w:tcPr>
          <w:p w14:paraId="0BC98DB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0.415</w:t>
            </w:r>
          </w:p>
        </w:tc>
      </w:tr>
      <w:tr w:rsidR="00186732" w:rsidRPr="00D07030" w14:paraId="7B273FC8" w14:textId="77777777" w:rsidTr="00D07030">
        <w:trPr>
          <w:jc w:val="center"/>
        </w:trPr>
        <w:tc>
          <w:tcPr>
            <w:tcW w:w="0" w:type="auto"/>
            <w:tcMar>
              <w:top w:w="15" w:type="dxa"/>
              <w:left w:w="0" w:type="dxa"/>
              <w:bottom w:w="15" w:type="dxa"/>
              <w:right w:w="15" w:type="dxa"/>
            </w:tcMar>
            <w:vAlign w:val="center"/>
            <w:hideMark/>
          </w:tcPr>
          <w:p w14:paraId="1DEB4226"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modern technologies in construction and design</w:t>
            </w:r>
          </w:p>
        </w:tc>
        <w:tc>
          <w:tcPr>
            <w:tcW w:w="0" w:type="auto"/>
            <w:vAlign w:val="center"/>
            <w:hideMark/>
          </w:tcPr>
          <w:p w14:paraId="655579CE"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1B2EB10D"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101.476</w:t>
            </w:r>
          </w:p>
        </w:tc>
        <w:tc>
          <w:tcPr>
            <w:tcW w:w="0" w:type="auto"/>
            <w:vAlign w:val="center"/>
            <w:hideMark/>
          </w:tcPr>
          <w:p w14:paraId="694AF1B3"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0.337</w:t>
            </w:r>
          </w:p>
        </w:tc>
      </w:tr>
      <w:tr w:rsidR="00186732" w:rsidRPr="00D07030" w14:paraId="3CEA8558" w14:textId="77777777" w:rsidTr="00D07030">
        <w:trPr>
          <w:jc w:val="center"/>
        </w:trPr>
        <w:tc>
          <w:tcPr>
            <w:tcW w:w="0" w:type="auto"/>
            <w:tcMar>
              <w:top w:w="15" w:type="dxa"/>
              <w:left w:w="0" w:type="dxa"/>
              <w:bottom w:w="15" w:type="dxa"/>
              <w:right w:w="15" w:type="dxa"/>
            </w:tcMar>
            <w:vAlign w:val="center"/>
            <w:hideMark/>
          </w:tcPr>
          <w:p w14:paraId="2BC6E11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Use of sustainable and recyclable materials</w:t>
            </w:r>
          </w:p>
        </w:tc>
        <w:tc>
          <w:tcPr>
            <w:tcW w:w="0" w:type="auto"/>
            <w:vAlign w:val="center"/>
            <w:hideMark/>
          </w:tcPr>
          <w:p w14:paraId="07B68F9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01B06CD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94.126</w:t>
            </w:r>
          </w:p>
        </w:tc>
        <w:tc>
          <w:tcPr>
            <w:tcW w:w="0" w:type="auto"/>
            <w:vAlign w:val="center"/>
            <w:hideMark/>
          </w:tcPr>
          <w:p w14:paraId="684BBEF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0.385</w:t>
            </w:r>
          </w:p>
        </w:tc>
      </w:tr>
      <w:tr w:rsidR="00186732" w:rsidRPr="00D07030" w14:paraId="4D8F7B75" w14:textId="77777777" w:rsidTr="00D07030">
        <w:trPr>
          <w:jc w:val="center"/>
        </w:trPr>
        <w:tc>
          <w:tcPr>
            <w:tcW w:w="0" w:type="auto"/>
            <w:tcMar>
              <w:top w:w="15" w:type="dxa"/>
              <w:left w:w="0" w:type="dxa"/>
              <w:bottom w:w="15" w:type="dxa"/>
              <w:right w:w="15" w:type="dxa"/>
            </w:tcMar>
            <w:vAlign w:val="center"/>
            <w:hideMark/>
          </w:tcPr>
          <w:p w14:paraId="0C0A4981"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Increasing speed and productivity in production and execution processes</w:t>
            </w:r>
          </w:p>
        </w:tc>
        <w:tc>
          <w:tcPr>
            <w:tcW w:w="0" w:type="auto"/>
            <w:vAlign w:val="center"/>
            <w:hideMark/>
          </w:tcPr>
          <w:p w14:paraId="01B286C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306.000</w:t>
            </w:r>
          </w:p>
        </w:tc>
        <w:tc>
          <w:tcPr>
            <w:tcW w:w="0" w:type="auto"/>
            <w:vAlign w:val="center"/>
            <w:hideMark/>
          </w:tcPr>
          <w:p w14:paraId="38E81FA9"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185.290</w:t>
            </w:r>
          </w:p>
        </w:tc>
        <w:tc>
          <w:tcPr>
            <w:tcW w:w="0" w:type="auto"/>
            <w:vAlign w:val="center"/>
            <w:hideMark/>
          </w:tcPr>
          <w:p w14:paraId="3C135AC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0.394</w:t>
            </w:r>
          </w:p>
        </w:tc>
      </w:tr>
      <w:tr w:rsidR="00186732" w:rsidRPr="00D07030" w14:paraId="45894E35" w14:textId="77777777" w:rsidTr="00D07030">
        <w:trPr>
          <w:jc w:val="center"/>
        </w:trPr>
        <w:tc>
          <w:tcPr>
            <w:tcW w:w="0" w:type="auto"/>
            <w:tcMar>
              <w:top w:w="15" w:type="dxa"/>
              <w:left w:w="0" w:type="dxa"/>
              <w:bottom w:w="15" w:type="dxa"/>
              <w:right w:w="15" w:type="dxa"/>
            </w:tcMar>
            <w:vAlign w:val="center"/>
            <w:hideMark/>
          </w:tcPr>
          <w:p w14:paraId="1480238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Adaptability to user and family needs</w:t>
            </w:r>
          </w:p>
        </w:tc>
        <w:tc>
          <w:tcPr>
            <w:tcW w:w="0" w:type="auto"/>
            <w:vAlign w:val="center"/>
            <w:hideMark/>
          </w:tcPr>
          <w:p w14:paraId="12E0AF3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306.000</w:t>
            </w:r>
          </w:p>
        </w:tc>
        <w:tc>
          <w:tcPr>
            <w:tcW w:w="0" w:type="auto"/>
            <w:vAlign w:val="center"/>
            <w:hideMark/>
          </w:tcPr>
          <w:p w14:paraId="50AEA666"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199.047</w:t>
            </w:r>
          </w:p>
        </w:tc>
        <w:tc>
          <w:tcPr>
            <w:tcW w:w="0" w:type="auto"/>
            <w:vAlign w:val="center"/>
            <w:hideMark/>
          </w:tcPr>
          <w:p w14:paraId="57327397"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0.350</w:t>
            </w:r>
          </w:p>
        </w:tc>
      </w:tr>
      <w:tr w:rsidR="00186732" w:rsidRPr="00D07030" w14:paraId="1D5E242C" w14:textId="77777777" w:rsidTr="00D07030">
        <w:trPr>
          <w:jc w:val="center"/>
        </w:trPr>
        <w:tc>
          <w:tcPr>
            <w:tcW w:w="0" w:type="auto"/>
            <w:tcMar>
              <w:top w:w="15" w:type="dxa"/>
              <w:left w:w="0" w:type="dxa"/>
              <w:bottom w:w="15" w:type="dxa"/>
              <w:right w:w="15" w:type="dxa"/>
            </w:tcMar>
            <w:vAlign w:val="center"/>
            <w:hideMark/>
          </w:tcPr>
          <w:p w14:paraId="3F8A25B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Flexibility in design and space variability</w:t>
            </w:r>
          </w:p>
        </w:tc>
        <w:tc>
          <w:tcPr>
            <w:tcW w:w="0" w:type="auto"/>
            <w:vAlign w:val="center"/>
            <w:hideMark/>
          </w:tcPr>
          <w:p w14:paraId="31D69F6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11ACE5F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104.241</w:t>
            </w:r>
          </w:p>
        </w:tc>
        <w:tc>
          <w:tcPr>
            <w:tcW w:w="0" w:type="auto"/>
            <w:vAlign w:val="center"/>
            <w:hideMark/>
          </w:tcPr>
          <w:p w14:paraId="30FE0DA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0.319</w:t>
            </w:r>
          </w:p>
        </w:tc>
      </w:tr>
      <w:tr w:rsidR="00186732" w:rsidRPr="00D07030" w14:paraId="7D7A42DE" w14:textId="77777777" w:rsidTr="00D07030">
        <w:trPr>
          <w:jc w:val="center"/>
        </w:trPr>
        <w:tc>
          <w:tcPr>
            <w:tcW w:w="0" w:type="auto"/>
            <w:tcMar>
              <w:top w:w="15" w:type="dxa"/>
              <w:left w:w="0" w:type="dxa"/>
              <w:bottom w:w="15" w:type="dxa"/>
              <w:right w:w="15" w:type="dxa"/>
            </w:tcMar>
            <w:vAlign w:val="center"/>
            <w:hideMark/>
          </w:tcPr>
          <w:p w14:paraId="3F9E6C6C"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Safety and structural reinforcement</w:t>
            </w:r>
          </w:p>
        </w:tc>
        <w:tc>
          <w:tcPr>
            <w:tcW w:w="0" w:type="auto"/>
            <w:vAlign w:val="center"/>
            <w:hideMark/>
          </w:tcPr>
          <w:p w14:paraId="3BB24D2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42472D9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92.694</w:t>
            </w:r>
          </w:p>
        </w:tc>
        <w:tc>
          <w:tcPr>
            <w:tcW w:w="0" w:type="auto"/>
            <w:vAlign w:val="center"/>
            <w:hideMark/>
          </w:tcPr>
          <w:p w14:paraId="3FAD7BF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0.394</w:t>
            </w:r>
          </w:p>
        </w:tc>
      </w:tr>
      <w:tr w:rsidR="00186732" w:rsidRPr="00D07030" w14:paraId="7E887FBD" w14:textId="77777777" w:rsidTr="00D07030">
        <w:trPr>
          <w:jc w:val="center"/>
        </w:trPr>
        <w:tc>
          <w:tcPr>
            <w:tcW w:w="0" w:type="auto"/>
            <w:tcMar>
              <w:top w:w="15" w:type="dxa"/>
              <w:left w:w="0" w:type="dxa"/>
              <w:bottom w:w="15" w:type="dxa"/>
              <w:right w:w="15" w:type="dxa"/>
            </w:tcMar>
            <w:vAlign w:val="center"/>
            <w:hideMark/>
          </w:tcPr>
          <w:p w14:paraId="5664340F"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Optimization of energy consumption and reduction of environmental impacts</w:t>
            </w:r>
          </w:p>
        </w:tc>
        <w:tc>
          <w:tcPr>
            <w:tcW w:w="0" w:type="auto"/>
            <w:vAlign w:val="center"/>
            <w:hideMark/>
          </w:tcPr>
          <w:p w14:paraId="5D2E159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4BFE27A7"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94.237</w:t>
            </w:r>
          </w:p>
        </w:tc>
        <w:tc>
          <w:tcPr>
            <w:tcW w:w="0" w:type="auto"/>
            <w:vAlign w:val="center"/>
            <w:hideMark/>
          </w:tcPr>
          <w:p w14:paraId="7044128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0.384</w:t>
            </w:r>
          </w:p>
        </w:tc>
      </w:tr>
      <w:tr w:rsidR="00186732" w:rsidRPr="00D07030" w14:paraId="334C667B" w14:textId="77777777" w:rsidTr="00D07030">
        <w:trPr>
          <w:jc w:val="center"/>
        </w:trPr>
        <w:tc>
          <w:tcPr>
            <w:tcW w:w="0" w:type="auto"/>
            <w:tcMar>
              <w:top w:w="15" w:type="dxa"/>
              <w:left w:w="0" w:type="dxa"/>
              <w:bottom w:w="15" w:type="dxa"/>
              <w:right w:w="15" w:type="dxa"/>
            </w:tcMar>
            <w:vAlign w:val="center"/>
            <w:hideMark/>
          </w:tcPr>
          <w:p w14:paraId="559971AA"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Optimization of energy costs and ventilation systems</w:t>
            </w:r>
          </w:p>
        </w:tc>
        <w:tc>
          <w:tcPr>
            <w:tcW w:w="0" w:type="auto"/>
            <w:vAlign w:val="center"/>
            <w:hideMark/>
          </w:tcPr>
          <w:p w14:paraId="7AAA7845"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78D4F662"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106.454</w:t>
            </w:r>
          </w:p>
        </w:tc>
        <w:tc>
          <w:tcPr>
            <w:tcW w:w="0" w:type="auto"/>
            <w:vAlign w:val="center"/>
            <w:hideMark/>
          </w:tcPr>
          <w:p w14:paraId="1CFD0F9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0.304</w:t>
            </w:r>
          </w:p>
        </w:tc>
      </w:tr>
      <w:tr w:rsidR="00186732" w:rsidRPr="00D07030" w14:paraId="421F07FA" w14:textId="77777777" w:rsidTr="00D07030">
        <w:trPr>
          <w:jc w:val="center"/>
        </w:trPr>
        <w:tc>
          <w:tcPr>
            <w:tcW w:w="0" w:type="auto"/>
            <w:tcMar>
              <w:top w:w="15" w:type="dxa"/>
              <w:left w:w="0" w:type="dxa"/>
              <w:bottom w:w="15" w:type="dxa"/>
              <w:right w:w="15" w:type="dxa"/>
            </w:tcMar>
            <w:vAlign w:val="center"/>
            <w:hideMark/>
          </w:tcPr>
          <w:p w14:paraId="150446D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Providing psychological comfort and preventing environmental stress</w:t>
            </w:r>
          </w:p>
        </w:tc>
        <w:tc>
          <w:tcPr>
            <w:tcW w:w="0" w:type="auto"/>
            <w:vAlign w:val="center"/>
            <w:hideMark/>
          </w:tcPr>
          <w:p w14:paraId="601F5F6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306.000</w:t>
            </w:r>
          </w:p>
        </w:tc>
        <w:tc>
          <w:tcPr>
            <w:tcW w:w="0" w:type="auto"/>
            <w:vAlign w:val="center"/>
            <w:hideMark/>
          </w:tcPr>
          <w:p w14:paraId="2E9AF6F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168.453</w:t>
            </w:r>
          </w:p>
        </w:tc>
        <w:tc>
          <w:tcPr>
            <w:tcW w:w="0" w:type="auto"/>
            <w:vAlign w:val="center"/>
            <w:hideMark/>
          </w:tcPr>
          <w:p w14:paraId="0A0021D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0.450</w:t>
            </w:r>
          </w:p>
        </w:tc>
      </w:tr>
      <w:tr w:rsidR="00186732" w:rsidRPr="00D07030" w14:paraId="306F149E" w14:textId="77777777" w:rsidTr="00D07030">
        <w:trPr>
          <w:jc w:val="center"/>
        </w:trPr>
        <w:tc>
          <w:tcPr>
            <w:tcW w:w="0" w:type="auto"/>
            <w:tcMar>
              <w:top w:w="15" w:type="dxa"/>
              <w:left w:w="0" w:type="dxa"/>
              <w:bottom w:w="15" w:type="dxa"/>
              <w:right w:w="15" w:type="dxa"/>
            </w:tcMar>
            <w:vAlign w:val="center"/>
            <w:hideMark/>
          </w:tcPr>
          <w:p w14:paraId="3B81D79D"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Providing natural light and optimal use of sunlight</w:t>
            </w:r>
          </w:p>
        </w:tc>
        <w:tc>
          <w:tcPr>
            <w:tcW w:w="0" w:type="auto"/>
            <w:vAlign w:val="center"/>
            <w:hideMark/>
          </w:tcPr>
          <w:p w14:paraId="7F397B0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5B32737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107.577</w:t>
            </w:r>
          </w:p>
        </w:tc>
        <w:tc>
          <w:tcPr>
            <w:tcW w:w="0" w:type="auto"/>
            <w:vAlign w:val="center"/>
            <w:hideMark/>
          </w:tcPr>
          <w:p w14:paraId="3984A307"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0.297</w:t>
            </w:r>
          </w:p>
        </w:tc>
      </w:tr>
      <w:tr w:rsidR="00186732" w:rsidRPr="00D07030" w14:paraId="11AD8CAE" w14:textId="77777777" w:rsidTr="00D07030">
        <w:trPr>
          <w:jc w:val="center"/>
        </w:trPr>
        <w:tc>
          <w:tcPr>
            <w:tcW w:w="0" w:type="auto"/>
            <w:tcMar>
              <w:top w:w="15" w:type="dxa"/>
              <w:left w:w="0" w:type="dxa"/>
              <w:bottom w:w="15" w:type="dxa"/>
              <w:right w:w="15" w:type="dxa"/>
            </w:tcMar>
            <w:vAlign w:val="center"/>
            <w:hideMark/>
          </w:tcPr>
          <w:p w14:paraId="3076B968"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Strengthening neighborhood relationships and social interaction</w:t>
            </w:r>
          </w:p>
        </w:tc>
        <w:tc>
          <w:tcPr>
            <w:tcW w:w="0" w:type="auto"/>
            <w:vAlign w:val="center"/>
            <w:hideMark/>
          </w:tcPr>
          <w:p w14:paraId="55B3939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6532B6CA"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99.574</w:t>
            </w:r>
          </w:p>
        </w:tc>
        <w:tc>
          <w:tcPr>
            <w:tcW w:w="0" w:type="auto"/>
            <w:vAlign w:val="center"/>
            <w:hideMark/>
          </w:tcPr>
          <w:p w14:paraId="659B4B8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0.349</w:t>
            </w:r>
          </w:p>
        </w:tc>
      </w:tr>
      <w:tr w:rsidR="00186732" w:rsidRPr="00D07030" w14:paraId="48D2B050" w14:textId="77777777" w:rsidTr="00D07030">
        <w:trPr>
          <w:jc w:val="center"/>
        </w:trPr>
        <w:tc>
          <w:tcPr>
            <w:tcW w:w="0" w:type="auto"/>
            <w:tcMar>
              <w:top w:w="15" w:type="dxa"/>
              <w:left w:w="0" w:type="dxa"/>
              <w:bottom w:w="15" w:type="dxa"/>
              <w:right w:w="15" w:type="dxa"/>
            </w:tcMar>
            <w:vAlign w:val="center"/>
            <w:hideMark/>
          </w:tcPr>
          <w:p w14:paraId="49FAB4BE"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lastRenderedPageBreak/>
              <w:t>Aesthetics and preserving architectural identity</w:t>
            </w:r>
          </w:p>
        </w:tc>
        <w:tc>
          <w:tcPr>
            <w:tcW w:w="0" w:type="auto"/>
            <w:vAlign w:val="center"/>
            <w:hideMark/>
          </w:tcPr>
          <w:p w14:paraId="31F4CC7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1753E8B7"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128.434</w:t>
            </w:r>
          </w:p>
        </w:tc>
        <w:tc>
          <w:tcPr>
            <w:tcW w:w="0" w:type="auto"/>
            <w:vAlign w:val="center"/>
            <w:hideMark/>
          </w:tcPr>
          <w:p w14:paraId="091369E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0.161</w:t>
            </w:r>
          </w:p>
        </w:tc>
      </w:tr>
      <w:tr w:rsidR="00186732" w:rsidRPr="00D07030" w14:paraId="1193C331" w14:textId="77777777" w:rsidTr="00D07030">
        <w:trPr>
          <w:jc w:val="center"/>
        </w:trPr>
        <w:tc>
          <w:tcPr>
            <w:tcW w:w="0" w:type="auto"/>
            <w:tcMar>
              <w:top w:w="15" w:type="dxa"/>
              <w:left w:w="0" w:type="dxa"/>
              <w:bottom w:w="15" w:type="dxa"/>
              <w:right w:w="15" w:type="dxa"/>
            </w:tcMar>
            <w:vAlign w:val="center"/>
            <w:hideMark/>
          </w:tcPr>
          <w:p w14:paraId="55C2CE6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Cost savings in construction and maintenance</w:t>
            </w:r>
          </w:p>
        </w:tc>
        <w:tc>
          <w:tcPr>
            <w:tcW w:w="0" w:type="auto"/>
            <w:vAlign w:val="center"/>
            <w:hideMark/>
          </w:tcPr>
          <w:p w14:paraId="2D74D0A9"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7575A04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86.669</w:t>
            </w:r>
          </w:p>
        </w:tc>
        <w:tc>
          <w:tcPr>
            <w:tcW w:w="0" w:type="auto"/>
            <w:vAlign w:val="center"/>
            <w:hideMark/>
          </w:tcPr>
          <w:p w14:paraId="3C93EA6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0.434</w:t>
            </w:r>
          </w:p>
        </w:tc>
      </w:tr>
      <w:tr w:rsidR="00186732" w:rsidRPr="00D07030" w14:paraId="4CA1E4E6" w14:textId="77777777" w:rsidTr="00D07030">
        <w:trPr>
          <w:jc w:val="center"/>
        </w:trPr>
        <w:tc>
          <w:tcPr>
            <w:tcW w:w="0" w:type="auto"/>
            <w:tcMar>
              <w:top w:w="15" w:type="dxa"/>
              <w:left w:w="0" w:type="dxa"/>
              <w:bottom w:w="15" w:type="dxa"/>
              <w:right w:w="15" w:type="dxa"/>
            </w:tcMar>
            <w:vAlign w:val="center"/>
            <w:hideMark/>
          </w:tcPr>
          <w:p w14:paraId="6CB3DF8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Future-oriented design and expandability</w:t>
            </w:r>
          </w:p>
        </w:tc>
        <w:tc>
          <w:tcPr>
            <w:tcW w:w="0" w:type="auto"/>
            <w:vAlign w:val="center"/>
            <w:hideMark/>
          </w:tcPr>
          <w:p w14:paraId="4B92344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42EB53BE"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97.228</w:t>
            </w:r>
          </w:p>
        </w:tc>
        <w:tc>
          <w:tcPr>
            <w:tcW w:w="0" w:type="auto"/>
            <w:vAlign w:val="center"/>
            <w:hideMark/>
          </w:tcPr>
          <w:p w14:paraId="58F8675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0.365</w:t>
            </w:r>
          </w:p>
        </w:tc>
      </w:tr>
      <w:tr w:rsidR="00186732" w:rsidRPr="00D07030" w14:paraId="582C8291" w14:textId="77777777" w:rsidTr="00D07030">
        <w:trPr>
          <w:jc w:val="center"/>
        </w:trPr>
        <w:tc>
          <w:tcPr>
            <w:tcW w:w="0" w:type="auto"/>
            <w:tcMar>
              <w:top w:w="15" w:type="dxa"/>
              <w:left w:w="0" w:type="dxa"/>
              <w:bottom w:w="15" w:type="dxa"/>
              <w:right w:w="15" w:type="dxa"/>
            </w:tcMar>
            <w:vAlign w:val="center"/>
            <w:hideMark/>
          </w:tcPr>
          <w:p w14:paraId="79D73965"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Design of multipurpose and flexible spaces</w:t>
            </w:r>
          </w:p>
        </w:tc>
        <w:tc>
          <w:tcPr>
            <w:tcW w:w="0" w:type="auto"/>
            <w:vAlign w:val="center"/>
            <w:hideMark/>
          </w:tcPr>
          <w:p w14:paraId="50C1E2D5"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3927EB0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105.458</w:t>
            </w:r>
          </w:p>
        </w:tc>
        <w:tc>
          <w:tcPr>
            <w:tcW w:w="0" w:type="auto"/>
            <w:vAlign w:val="center"/>
            <w:hideMark/>
          </w:tcPr>
          <w:p w14:paraId="4B716495"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0.311</w:t>
            </w:r>
          </w:p>
        </w:tc>
      </w:tr>
      <w:tr w:rsidR="00186732" w:rsidRPr="00D07030" w14:paraId="3FC47EDA" w14:textId="77777777" w:rsidTr="00D07030">
        <w:trPr>
          <w:jc w:val="center"/>
        </w:trPr>
        <w:tc>
          <w:tcPr>
            <w:tcW w:w="0" w:type="auto"/>
            <w:tcMar>
              <w:top w:w="15" w:type="dxa"/>
              <w:left w:w="0" w:type="dxa"/>
              <w:bottom w:w="15" w:type="dxa"/>
              <w:right w:w="15" w:type="dxa"/>
            </w:tcMar>
            <w:vAlign w:val="center"/>
            <w:hideMark/>
          </w:tcPr>
          <w:p w14:paraId="3E99D7B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Coordination between structural and mechanical systems</w:t>
            </w:r>
          </w:p>
        </w:tc>
        <w:tc>
          <w:tcPr>
            <w:tcW w:w="0" w:type="auto"/>
            <w:vAlign w:val="center"/>
            <w:hideMark/>
          </w:tcPr>
          <w:p w14:paraId="2EF5FFB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2E60071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88.016</w:t>
            </w:r>
          </w:p>
        </w:tc>
        <w:tc>
          <w:tcPr>
            <w:tcW w:w="0" w:type="auto"/>
            <w:vAlign w:val="center"/>
            <w:hideMark/>
          </w:tcPr>
          <w:p w14:paraId="34FBED1F"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0.425</w:t>
            </w:r>
          </w:p>
        </w:tc>
      </w:tr>
      <w:tr w:rsidR="00186732" w:rsidRPr="00D07030" w14:paraId="731DC99A" w14:textId="77777777" w:rsidTr="00D07030">
        <w:trPr>
          <w:jc w:val="center"/>
        </w:trPr>
        <w:tc>
          <w:tcPr>
            <w:tcW w:w="0" w:type="auto"/>
            <w:tcMar>
              <w:top w:w="15" w:type="dxa"/>
              <w:left w:w="0" w:type="dxa"/>
              <w:bottom w:w="15" w:type="dxa"/>
              <w:right w:w="15" w:type="dxa"/>
            </w:tcMar>
            <w:vAlign w:val="center"/>
            <w:hideMark/>
          </w:tcPr>
          <w:p w14:paraId="70433AB3"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Drivers of affordable housing supply based on socio-cultural patterns in Iran</w:t>
            </w:r>
          </w:p>
        </w:tc>
        <w:tc>
          <w:tcPr>
            <w:tcW w:w="0" w:type="auto"/>
            <w:vAlign w:val="center"/>
            <w:hideMark/>
          </w:tcPr>
          <w:p w14:paraId="5E2FC622"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3,978.000</w:t>
            </w:r>
          </w:p>
        </w:tc>
        <w:tc>
          <w:tcPr>
            <w:tcW w:w="0" w:type="auto"/>
            <w:vAlign w:val="center"/>
            <w:hideMark/>
          </w:tcPr>
          <w:p w14:paraId="69D0EFC6"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3,978.000</w:t>
            </w:r>
          </w:p>
        </w:tc>
        <w:tc>
          <w:tcPr>
            <w:tcW w:w="0" w:type="auto"/>
            <w:vAlign w:val="center"/>
            <w:hideMark/>
          </w:tcPr>
          <w:p w14:paraId="0F8B6E93"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p>
        </w:tc>
      </w:tr>
      <w:tr w:rsidR="00186732" w:rsidRPr="00D07030" w14:paraId="6B7E306E" w14:textId="77777777" w:rsidTr="00D07030">
        <w:trPr>
          <w:jc w:val="center"/>
        </w:trPr>
        <w:tc>
          <w:tcPr>
            <w:tcW w:w="0" w:type="auto"/>
            <w:tcMar>
              <w:top w:w="15" w:type="dxa"/>
              <w:left w:w="0" w:type="dxa"/>
              <w:bottom w:w="15" w:type="dxa"/>
              <w:right w:w="15" w:type="dxa"/>
            </w:tcMar>
            <w:vAlign w:val="center"/>
            <w:hideMark/>
          </w:tcPr>
          <w:p w14:paraId="58CC0EB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Reduction of environmental impacts during construction and operation</w:t>
            </w:r>
          </w:p>
        </w:tc>
        <w:tc>
          <w:tcPr>
            <w:tcW w:w="0" w:type="auto"/>
            <w:vAlign w:val="center"/>
            <w:hideMark/>
          </w:tcPr>
          <w:p w14:paraId="275E0A74"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5DC3DAE8"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117.297</w:t>
            </w:r>
          </w:p>
        </w:tc>
        <w:tc>
          <w:tcPr>
            <w:tcW w:w="0" w:type="auto"/>
            <w:vAlign w:val="center"/>
            <w:hideMark/>
          </w:tcPr>
          <w:p w14:paraId="3DB1DD29"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0.233</w:t>
            </w:r>
          </w:p>
        </w:tc>
      </w:tr>
      <w:tr w:rsidR="00186732" w:rsidRPr="00D07030" w14:paraId="2ACB765A" w14:textId="77777777" w:rsidTr="00D07030">
        <w:trPr>
          <w:jc w:val="center"/>
        </w:trPr>
        <w:tc>
          <w:tcPr>
            <w:tcW w:w="0" w:type="auto"/>
            <w:tcMar>
              <w:top w:w="15" w:type="dxa"/>
              <w:left w:w="0" w:type="dxa"/>
              <w:bottom w:w="15" w:type="dxa"/>
              <w:right w:w="15" w:type="dxa"/>
            </w:tcMar>
            <w:vAlign w:val="center"/>
            <w:hideMark/>
          </w:tcPr>
          <w:p w14:paraId="6314D13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Reduction of construction waste and waste management</w:t>
            </w:r>
          </w:p>
        </w:tc>
        <w:tc>
          <w:tcPr>
            <w:tcW w:w="0" w:type="auto"/>
            <w:vAlign w:val="center"/>
            <w:hideMark/>
          </w:tcPr>
          <w:p w14:paraId="30AA0790"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05F0F316"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104.751</w:t>
            </w:r>
          </w:p>
        </w:tc>
        <w:tc>
          <w:tcPr>
            <w:tcW w:w="0" w:type="auto"/>
            <w:vAlign w:val="center"/>
            <w:hideMark/>
          </w:tcPr>
          <w:p w14:paraId="07AA4952"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0.315</w:t>
            </w:r>
          </w:p>
        </w:tc>
      </w:tr>
      <w:tr w:rsidR="00186732" w:rsidRPr="00D07030" w14:paraId="4621EFD5" w14:textId="77777777" w:rsidTr="00D07030">
        <w:trPr>
          <w:jc w:val="center"/>
        </w:trPr>
        <w:tc>
          <w:tcPr>
            <w:tcW w:w="0" w:type="auto"/>
            <w:tcMar>
              <w:top w:w="15" w:type="dxa"/>
              <w:left w:w="0" w:type="dxa"/>
              <w:bottom w:w="15" w:type="dxa"/>
              <w:right w:w="15" w:type="dxa"/>
            </w:tcMar>
            <w:vAlign w:val="center"/>
            <w:hideMark/>
          </w:tcPr>
          <w:p w14:paraId="5A8830F0"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Reducing dependence on human labor</w:t>
            </w:r>
          </w:p>
        </w:tc>
        <w:tc>
          <w:tcPr>
            <w:tcW w:w="0" w:type="auto"/>
            <w:vAlign w:val="center"/>
            <w:hideMark/>
          </w:tcPr>
          <w:p w14:paraId="35CA43A6"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306.000</w:t>
            </w:r>
          </w:p>
        </w:tc>
        <w:tc>
          <w:tcPr>
            <w:tcW w:w="0" w:type="auto"/>
            <w:vAlign w:val="center"/>
            <w:hideMark/>
          </w:tcPr>
          <w:p w14:paraId="2B9216B1"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254.786</w:t>
            </w:r>
          </w:p>
        </w:tc>
        <w:tc>
          <w:tcPr>
            <w:tcW w:w="0" w:type="auto"/>
            <w:vAlign w:val="center"/>
            <w:hideMark/>
          </w:tcPr>
          <w:p w14:paraId="1E7D408C"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0.167</w:t>
            </w:r>
          </w:p>
        </w:tc>
      </w:tr>
      <w:tr w:rsidR="00186732" w:rsidRPr="00D07030" w14:paraId="323DFCD4" w14:textId="77777777" w:rsidTr="00D07030">
        <w:trPr>
          <w:jc w:val="center"/>
        </w:trPr>
        <w:tc>
          <w:tcPr>
            <w:tcW w:w="0" w:type="auto"/>
            <w:tcMar>
              <w:top w:w="15" w:type="dxa"/>
              <w:left w:w="0" w:type="dxa"/>
              <w:bottom w:w="15" w:type="dxa"/>
              <w:right w:w="15" w:type="dxa"/>
            </w:tcMar>
            <w:vAlign w:val="center"/>
            <w:hideMark/>
          </w:tcPr>
          <w:p w14:paraId="1EFAA854"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High quality of residential space and providing occupant comfort</w:t>
            </w:r>
          </w:p>
        </w:tc>
        <w:tc>
          <w:tcPr>
            <w:tcW w:w="0" w:type="auto"/>
            <w:vAlign w:val="center"/>
            <w:hideMark/>
          </w:tcPr>
          <w:p w14:paraId="11187237"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153.000</w:t>
            </w:r>
          </w:p>
        </w:tc>
        <w:tc>
          <w:tcPr>
            <w:tcW w:w="0" w:type="auto"/>
            <w:vAlign w:val="center"/>
            <w:hideMark/>
          </w:tcPr>
          <w:p w14:paraId="71E25755"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115.889</w:t>
            </w:r>
          </w:p>
        </w:tc>
        <w:tc>
          <w:tcPr>
            <w:tcW w:w="0" w:type="auto"/>
            <w:vAlign w:val="center"/>
            <w:hideMark/>
          </w:tcPr>
          <w:p w14:paraId="133D504B" w14:textId="77777777" w:rsidR="00D07030" w:rsidRPr="00D07030" w:rsidRDefault="00D07030" w:rsidP="00D07030">
            <w:pPr>
              <w:spacing w:after="0" w:line="240" w:lineRule="auto"/>
              <w:contextualSpacing/>
              <w:jc w:val="center"/>
              <w:rPr>
                <w:rFonts w:asciiTheme="majorBidi" w:hAnsiTheme="majorBidi" w:cstheme="majorBidi"/>
                <w:sz w:val="20"/>
                <w:szCs w:val="20"/>
                <w:lang w:bidi="fa-IR"/>
              </w:rPr>
            </w:pPr>
            <w:r w:rsidRPr="00D07030">
              <w:rPr>
                <w:rFonts w:asciiTheme="majorBidi" w:hAnsiTheme="majorBidi" w:cstheme="majorBidi"/>
                <w:sz w:val="20"/>
                <w:szCs w:val="20"/>
                <w:lang w:bidi="fa-IR"/>
              </w:rPr>
              <w:t>0.243</w:t>
            </w:r>
          </w:p>
        </w:tc>
      </w:tr>
    </w:tbl>
    <w:p w14:paraId="0F19119B" w14:textId="12B20A5B" w:rsid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The GOF value according to the formula is:</w:t>
      </w:r>
    </w:p>
    <w:p w14:paraId="79EBE9BF" w14:textId="0359D6BB" w:rsidR="00D07030" w:rsidRPr="00D07030" w:rsidRDefault="00D07030" w:rsidP="00D07030">
      <w:pPr>
        <w:spacing w:after="0" w:line="240" w:lineRule="auto"/>
        <w:contextualSpacing/>
        <w:jc w:val="both"/>
        <w:rPr>
          <w:rFonts w:asciiTheme="majorBidi" w:hAnsiTheme="majorBidi" w:cstheme="majorBidi"/>
          <w:sz w:val="20"/>
          <w:szCs w:val="20"/>
          <w:lang w:bidi="fa-IR"/>
        </w:rPr>
      </w:pPr>
    </w:p>
    <w:p w14:paraId="29429805" w14:textId="44D875A8" w:rsidR="00D07030" w:rsidRPr="00D07030" w:rsidRDefault="00D07030" w:rsidP="00D07030">
      <w:pPr>
        <w:spacing w:after="0" w:line="240" w:lineRule="auto"/>
        <w:contextualSpacing/>
        <w:jc w:val="both"/>
        <w:rPr>
          <w:rFonts w:asciiTheme="majorBidi" w:hAnsiTheme="majorBidi" w:cstheme="majorBidi"/>
          <w:sz w:val="20"/>
          <w:szCs w:val="20"/>
          <w:rtl/>
          <w:lang w:bidi="fa-IR"/>
        </w:rPr>
      </w:pPr>
      <m:oMathPara>
        <m:oMath>
          <m:r>
            <w:rPr>
              <w:rFonts w:ascii="Cambria Math" w:hAnsi="Cambria Math" w:cstheme="majorBidi"/>
              <w:sz w:val="20"/>
              <w:szCs w:val="20"/>
              <w:lang w:bidi="fa-IR"/>
            </w:rPr>
            <m:t>GOF=</m:t>
          </m:r>
          <m:rad>
            <m:radPr>
              <m:degHide m:val="1"/>
              <m:ctrlPr>
                <w:rPr>
                  <w:rFonts w:ascii="Cambria Math" w:hAnsi="Cambria Math" w:cstheme="majorBidi"/>
                  <w:i/>
                  <w:sz w:val="20"/>
                  <w:szCs w:val="20"/>
                  <w:lang w:bidi="fa-IR"/>
                </w:rPr>
              </m:ctrlPr>
            </m:radPr>
            <m:deg/>
            <m:e>
              <m:r>
                <w:rPr>
                  <w:rFonts w:ascii="Cambria Math" w:hAnsi="Cambria Math" w:cstheme="majorBidi"/>
                  <w:sz w:val="20"/>
                  <w:szCs w:val="20"/>
                  <w:lang w:bidi="fa-IR"/>
                </w:rPr>
                <m:t>0.337×0.45</m:t>
              </m:r>
            </m:e>
          </m:rad>
          <m:r>
            <w:rPr>
              <w:rFonts w:ascii="Cambria Math" w:hAnsi="Cambria Math" w:cstheme="majorBidi"/>
              <w:sz w:val="20"/>
              <w:szCs w:val="20"/>
              <w:lang w:bidi="fa-IR"/>
            </w:rPr>
            <m:t>=0.39</m:t>
          </m:r>
        </m:oMath>
      </m:oMathPara>
    </w:p>
    <w:p w14:paraId="5AEE7CAB" w14:textId="77777777" w:rsidR="00D07030" w:rsidRPr="00D07030" w:rsidRDefault="00D07030" w:rsidP="00D07030">
      <w:pPr>
        <w:spacing w:after="0" w:line="240" w:lineRule="auto"/>
        <w:contextualSpacing/>
        <w:jc w:val="both"/>
        <w:rPr>
          <w:rFonts w:asciiTheme="majorBidi" w:hAnsiTheme="majorBidi" w:cstheme="majorBidi"/>
          <w:sz w:val="20"/>
          <w:szCs w:val="20"/>
          <w:lang w:bidi="fa-IR"/>
        </w:rPr>
      </w:pPr>
      <w:r w:rsidRPr="00D07030">
        <w:rPr>
          <w:rFonts w:asciiTheme="majorBidi" w:hAnsiTheme="majorBidi" w:cstheme="majorBidi"/>
          <w:sz w:val="20"/>
          <w:szCs w:val="20"/>
          <w:lang w:bidi="fa-IR"/>
        </w:rPr>
        <w:t>Considering the values 0.01, 0.25, and 0.36 as weak, moderate, and strong GOF values, respectively, the resulting GOF value of 0.39 indicates a strong overall fit of the research model. Therefore, the model is significant, and all drivers are confirmed.</w:t>
      </w:r>
    </w:p>
    <w:p w14:paraId="2656F9D6" w14:textId="43098705" w:rsidR="00D07030" w:rsidRDefault="00D07030" w:rsidP="00D07030">
      <w:pPr>
        <w:spacing w:after="0" w:line="240" w:lineRule="auto"/>
        <w:contextualSpacing/>
        <w:jc w:val="both"/>
        <w:rPr>
          <w:rFonts w:asciiTheme="majorBidi" w:hAnsiTheme="majorBidi" w:cstheme="majorBidi"/>
          <w:sz w:val="20"/>
          <w:szCs w:val="20"/>
          <w:lang w:bidi="fa-IR"/>
        </w:rPr>
      </w:pPr>
    </w:p>
    <w:p w14:paraId="5F8D94EB" w14:textId="77777777" w:rsidR="000037CA" w:rsidRDefault="000037CA" w:rsidP="00D07030">
      <w:pPr>
        <w:spacing w:after="0" w:line="240" w:lineRule="auto"/>
        <w:contextualSpacing/>
        <w:jc w:val="both"/>
        <w:rPr>
          <w:rFonts w:asciiTheme="majorBidi" w:hAnsiTheme="majorBidi" w:cstheme="majorBidi"/>
          <w:sz w:val="20"/>
          <w:szCs w:val="20"/>
          <w:lang w:bidi="fa-IR"/>
        </w:rPr>
      </w:pPr>
    </w:p>
    <w:p w14:paraId="2E842012"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b/>
          <w:bCs/>
          <w:sz w:val="20"/>
          <w:szCs w:val="20"/>
          <w:lang w:bidi="fa-IR"/>
        </w:rPr>
        <w:t>Discussion and Conclusion</w:t>
      </w:r>
    </w:p>
    <w:p w14:paraId="1DCF1BAC"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As mentioned, the goal of this research was to identify the drivers of affordable housing supply based on socio-cultural patterns in Iran. The nature of this research is applied developmental, and since it is exploratory, it does not have hypotheses. This research, conducted using a mixed-method approach, combined the drivers identified through meta-synthesis and interviews in the qualitative phase to design a researcher-made questionnaire for the quantitative phase. By distributing the questionnaire among the sample members (273 completed responses), the drivers were localized for Iran.</w:t>
      </w:r>
    </w:p>
    <w:p w14:paraId="49BFCEEE" w14:textId="7B6C1EFE"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The identified drivers include:</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Standardization and modularization of design and construction,</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Use of passive ventilation and climate-responsive strategies,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Adoption of modern technologies in construction and design,</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Utilization of sustainable and recyclable materials,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Increasing speed and productivity in production and execution processes,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Adaptability to user and family needs,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Flexibility in design and spatial variability,</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Building safety and resilience,</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Optimization of energy consumption and reduction of environmental impacts,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Optimization of energy costs and ventilation systems,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Provision of psychological comfort and prevention of environmental stress,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Provision of natural light and optimal use of sunlight,</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Strengthening neighborhood relationships and social interaction,</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Aesthetic considerations and preservation of architectural identity,</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Cost savings in construction and maintenance,</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Future-oriented design and expandability,</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Design of multipurpose and flexible spaces,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Coordination between structural and mechanical systems,</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Reduction of environmental impacts during construction and operation,</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Reduction of construction waste and waste management,</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Decreased reliance on human labor,</w:t>
      </w:r>
      <w:r>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High-quality residential spaces and provision of occupant comfort.</w:t>
      </w:r>
    </w:p>
    <w:p w14:paraId="5E7259B3"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In this research, flexibility refers to the ability to change the type and proportion of residential units according to user demand, covering various aspects of life and allowing individuals to adjust layouts based on changes. This includes compatibility with multi-generational families, flexible design, adaptability to various materials, and customization of height, space, and area according to customer preferences.</w:t>
      </w:r>
    </w:p>
    <w:p w14:paraId="63E80EAD"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Agrawal et al. (2022) emphasized the importance of understanding demand-side preferences (needs of low-income groups) and integrating them into housing policies. This aligns with the findings of this research, which highlight adaptability to user needs and high-quality residential spaces. Insufficient attention to residents' needs can lead to a gap between supply and demand, as reflected in the emphasis on adaptability and occupant comfort.</w:t>
      </w:r>
    </w:p>
    <w:p w14:paraId="5887FD34"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McAskill</w:t>
      </w:r>
      <w:proofErr w:type="spellEnd"/>
      <w:r w:rsidRPr="000037CA">
        <w:rPr>
          <w:rFonts w:asciiTheme="majorBidi" w:hAnsiTheme="majorBidi" w:cstheme="majorBidi"/>
          <w:sz w:val="20"/>
          <w:szCs w:val="20"/>
          <w:lang w:bidi="fa-IR"/>
        </w:rPr>
        <w:t xml:space="preserve"> et al. (2021) and </w:t>
      </w:r>
      <w:proofErr w:type="spellStart"/>
      <w:r w:rsidRPr="000037CA">
        <w:rPr>
          <w:rFonts w:asciiTheme="majorBidi" w:hAnsiTheme="majorBidi" w:cstheme="majorBidi"/>
          <w:sz w:val="20"/>
          <w:szCs w:val="20"/>
          <w:lang w:bidi="fa-IR"/>
        </w:rPr>
        <w:t>Ranjbar</w:t>
      </w:r>
      <w:proofErr w:type="spellEnd"/>
      <w:r w:rsidRPr="000037CA">
        <w:rPr>
          <w:rFonts w:asciiTheme="majorBidi" w:hAnsiTheme="majorBidi" w:cstheme="majorBidi"/>
          <w:sz w:val="20"/>
          <w:szCs w:val="20"/>
          <w:lang w:bidi="fa-IR"/>
        </w:rPr>
        <w:t xml:space="preserve"> et al. (2021) emphasized the importance of environmental sustainability and energy efficiency in affordable housing. This aligns with the optimization of energy consumption and reduction of environmental impacts in this research. Integrating green technologies and reducing energy consumption not only contributes to environmental sustainability but also lowers long-term costs.</w:t>
      </w:r>
    </w:p>
    <w:p w14:paraId="7409A57B"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Tabaei</w:t>
      </w:r>
      <w:proofErr w:type="spellEnd"/>
      <w:r w:rsidRPr="000037CA">
        <w:rPr>
          <w:rFonts w:asciiTheme="majorBidi" w:hAnsiTheme="majorBidi" w:cstheme="majorBidi"/>
          <w:sz w:val="20"/>
          <w:szCs w:val="20"/>
          <w:lang w:bidi="fa-IR"/>
        </w:rPr>
        <w:t xml:space="preserve"> et al. (2021) highlighted the importance of inclusive cities and flexibility in urban planning. The flexibility in design and spatial variability, as well as the design of multipurpose and flexible spaces in this research, align with these findings. Flexibility in design can better address the diverse needs of residents.</w:t>
      </w:r>
    </w:p>
    <w:p w14:paraId="311E479C"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lastRenderedPageBreak/>
        <w:t>Safaipour</w:t>
      </w:r>
      <w:proofErr w:type="spellEnd"/>
      <w:r w:rsidRPr="000037CA">
        <w:rPr>
          <w:rFonts w:asciiTheme="majorBidi" w:hAnsiTheme="majorBidi" w:cstheme="majorBidi"/>
          <w:sz w:val="20"/>
          <w:szCs w:val="20"/>
          <w:lang w:bidi="fa-IR"/>
        </w:rPr>
        <w:t xml:space="preserve"> and </w:t>
      </w:r>
      <w:proofErr w:type="spellStart"/>
      <w:r w:rsidRPr="000037CA">
        <w:rPr>
          <w:rFonts w:asciiTheme="majorBidi" w:hAnsiTheme="majorBidi" w:cstheme="majorBidi"/>
          <w:sz w:val="20"/>
          <w:szCs w:val="20"/>
          <w:lang w:bidi="fa-IR"/>
        </w:rPr>
        <w:t>Fadaei</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Jazi</w:t>
      </w:r>
      <w:proofErr w:type="spellEnd"/>
      <w:r w:rsidRPr="000037CA">
        <w:rPr>
          <w:rFonts w:asciiTheme="majorBidi" w:hAnsiTheme="majorBidi" w:cstheme="majorBidi"/>
          <w:sz w:val="20"/>
          <w:szCs w:val="20"/>
          <w:lang w:bidi="fa-IR"/>
        </w:rPr>
        <w:t xml:space="preserve"> (2023) and Zhang et al. (2021) emphasized the importance of cost management in affordable housing. Cost savings in construction and maintenance, as well as optimization of energy costs and ventilation systems, are among the findings of this research that align with these studies. Cost management is crucial not only during construction but also during operation.</w:t>
      </w:r>
    </w:p>
    <w:p w14:paraId="71AE031C"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Chen et al. (2021) emphasized the importance of reducing social vulnerability in low-income communities. Building safety and resilience, as well as the provision of psychological comfort and prevention of environmental stress, align with these findings. Safety and psychological comfort can help reduce social vulnerability.</w:t>
      </w:r>
    </w:p>
    <w:p w14:paraId="3BBA4867"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The use of modern technologies in construction and design (t-statistic: 11.117) and increasing speed and productivity in production and execution processes (t-statistic: 22.912) are among the success factors in this research, aligning with the emphasis on innovation in previous studies. The use of modern technologies can improve quality and reduce costs.</w:t>
      </w:r>
    </w:p>
    <w:p w14:paraId="74785B60"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Given the research background, it is clear that most studies have focused on specific aspects such as environmental sustainability, costs, or flexibility. However, this research provides a more comprehensive approach to the success factors in affordable housing, filling gaps in the literature. This research can serve as a comprehensive framework for planning and implementing affordable housing projects in the future. Additionally, the emphasis on psychological and social factors (such as psychological comfort and social interaction) can improve residents' quality of life.</w:t>
      </w:r>
    </w:p>
    <w:p w14:paraId="2C8B7E47" w14:textId="77777777" w:rsidR="000037CA" w:rsidRDefault="000037CA" w:rsidP="000037CA">
      <w:pPr>
        <w:spacing w:after="0" w:line="240" w:lineRule="auto"/>
        <w:contextualSpacing/>
        <w:jc w:val="both"/>
        <w:rPr>
          <w:rFonts w:asciiTheme="majorBidi" w:hAnsiTheme="majorBidi" w:cstheme="majorBidi"/>
          <w:b/>
          <w:bCs/>
          <w:sz w:val="20"/>
          <w:szCs w:val="20"/>
          <w:lang w:bidi="fa-IR"/>
        </w:rPr>
      </w:pPr>
    </w:p>
    <w:p w14:paraId="48566869" w14:textId="7DEDF2E0" w:rsidR="000037CA" w:rsidRPr="000037CA" w:rsidRDefault="000037CA" w:rsidP="000037CA">
      <w:pPr>
        <w:spacing w:after="0" w:line="240" w:lineRule="auto"/>
        <w:contextualSpacing/>
        <w:jc w:val="both"/>
        <w:rPr>
          <w:rFonts w:asciiTheme="majorBidi" w:hAnsiTheme="majorBidi" w:cstheme="majorBidi"/>
          <w:b/>
          <w:bCs/>
          <w:sz w:val="20"/>
          <w:szCs w:val="20"/>
          <w:lang w:bidi="fa-IR"/>
        </w:rPr>
      </w:pPr>
      <w:r w:rsidRPr="000037CA">
        <w:rPr>
          <w:rFonts w:asciiTheme="majorBidi" w:hAnsiTheme="majorBidi" w:cstheme="majorBidi"/>
          <w:b/>
          <w:bCs/>
          <w:sz w:val="20"/>
          <w:szCs w:val="20"/>
          <w:lang w:bidi="fa-IR"/>
        </w:rPr>
        <w:t>Recommendations</w:t>
      </w:r>
    </w:p>
    <w:p w14:paraId="35F06BC5" w14:textId="77777777" w:rsidR="000037CA" w:rsidRP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Based on the importance of the identified drivers and the lack of attention to some of them, the following recommendations are proposed:</w:t>
      </w:r>
    </w:p>
    <w:p w14:paraId="6363466C" w14:textId="7E7829DA"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Housing design should accommodate the diverse needs of residents, especially low-income groups, including flexibility in spatial design and adaptability to future needs.</w:t>
      </w:r>
    </w:p>
    <w:p w14:paraId="72917F9D" w14:textId="62EA9C02"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Adopt modern construction technologies (e.g., modular construction, prefabricated materials, and smart systems) to reduce time and costs.</w:t>
      </w:r>
    </w:p>
    <w:p w14:paraId="52D996D5" w14:textId="5D6FF6D4"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Use passive ventilation systems, sustainable and recyclable materials, and energy-efficient designs to minimize energy consumption.</w:t>
      </w:r>
    </w:p>
    <w:p w14:paraId="007C3955" w14:textId="2B5D17C1"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Utilize low-cost construction methods and affordable materials without compromising quality and safety.</w:t>
      </w:r>
    </w:p>
    <w:p w14:paraId="38B01E16" w14:textId="2D6520CE"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Design and construct buildings to meet safety standards and withstand natural disasters (e.g., floods and earthquakes).</w:t>
      </w:r>
    </w:p>
    <w:p w14:paraId="577F1246" w14:textId="1BA84293"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Ensure adequate natural light, ventilation, and green spaces to enhance residents' psychological well-being.</w:t>
      </w:r>
    </w:p>
    <w:p w14:paraId="40ECFC65" w14:textId="210EBCAC"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Design shared spaces (e.g., parks, community halls, and playgrounds) to strengthen social interaction and neighborhood relationships.</w:t>
      </w:r>
    </w:p>
    <w:p w14:paraId="5E9B76EC" w14:textId="4D68DFF6"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Implement waste management and recycling programs during construction and operation.</w:t>
      </w:r>
    </w:p>
    <w:p w14:paraId="0D2E1979" w14:textId="4B64B32A"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Governments should provide financial incentives and low-interest loans to encourage affordable housing construction.</w:t>
      </w:r>
    </w:p>
    <w:p w14:paraId="3C93F35A" w14:textId="713A2114"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Design housing to allow for future expansion and changes to adapt to evolving resident needs.</w:t>
      </w:r>
    </w:p>
    <w:p w14:paraId="12EB869C" w14:textId="5E13FFC3"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Educate residents about the benefits of sustainable housing and methods to reduce energy consumption and manage waste.</w:t>
      </w:r>
    </w:p>
    <w:p w14:paraId="7097CA03" w14:textId="4047D3A7" w:rsidR="000037CA" w:rsidRPr="000037CA" w:rsidRDefault="000037CA" w:rsidP="000037CA">
      <w:pPr>
        <w:numPr>
          <w:ilvl w:val="0"/>
          <w:numId w:val="3"/>
        </w:num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Ensure coordination between structural and mechanical systems to improve efficiency and reduce maintenance costs.</w:t>
      </w:r>
    </w:p>
    <w:p w14:paraId="0A2DCFE7" w14:textId="793CEA8F" w:rsidR="000037CA" w:rsidRDefault="000037CA" w:rsidP="000037CA">
      <w:pPr>
        <w:spacing w:after="0" w:line="240" w:lineRule="auto"/>
        <w:contextualSpacing/>
        <w:jc w:val="both"/>
        <w:rPr>
          <w:rFonts w:asciiTheme="majorBidi" w:hAnsiTheme="majorBidi" w:cstheme="majorBidi"/>
          <w:sz w:val="20"/>
          <w:szCs w:val="20"/>
          <w:lang w:bidi="fa-IR"/>
        </w:rPr>
      </w:pPr>
      <w:r w:rsidRPr="000037CA">
        <w:rPr>
          <w:rFonts w:asciiTheme="majorBidi" w:hAnsiTheme="majorBidi" w:cstheme="majorBidi"/>
          <w:sz w:val="20"/>
          <w:szCs w:val="20"/>
          <w:lang w:bidi="fa-IR"/>
        </w:rPr>
        <w:t>This research provides a holistic framework for addressing the challenges of affordable housing in Iran, emphasizing the integration of cultural, social, economic, and environmental factors. By implementing these recommendations, policymakers and stakeholders can create sustainable, affordable, and high-quality housing solutions that meet the needs of diverse populations.</w:t>
      </w:r>
    </w:p>
    <w:p w14:paraId="30FF6151" w14:textId="50453385" w:rsidR="000037CA" w:rsidRDefault="000037CA" w:rsidP="000037CA">
      <w:pPr>
        <w:spacing w:after="0" w:line="240" w:lineRule="auto"/>
        <w:contextualSpacing/>
        <w:jc w:val="both"/>
        <w:rPr>
          <w:rFonts w:asciiTheme="majorBidi" w:hAnsiTheme="majorBidi" w:cstheme="majorBidi"/>
          <w:sz w:val="20"/>
          <w:szCs w:val="20"/>
          <w:lang w:bidi="fa-IR"/>
        </w:rPr>
      </w:pPr>
    </w:p>
    <w:p w14:paraId="09D66005" w14:textId="5801A210" w:rsidR="000037CA" w:rsidRPr="000037CA" w:rsidRDefault="000037CA" w:rsidP="000037CA">
      <w:pPr>
        <w:spacing w:after="0" w:line="240" w:lineRule="auto"/>
        <w:contextualSpacing/>
        <w:jc w:val="both"/>
        <w:rPr>
          <w:rFonts w:asciiTheme="majorBidi" w:hAnsiTheme="majorBidi" w:cstheme="majorBidi"/>
          <w:b/>
          <w:bCs/>
          <w:sz w:val="20"/>
          <w:szCs w:val="20"/>
          <w:lang w:bidi="fa-IR"/>
        </w:rPr>
      </w:pPr>
      <w:r w:rsidRPr="000037CA">
        <w:rPr>
          <w:rFonts w:asciiTheme="majorBidi" w:hAnsiTheme="majorBidi" w:cstheme="majorBidi"/>
          <w:b/>
          <w:bCs/>
          <w:sz w:val="20"/>
          <w:szCs w:val="20"/>
          <w:lang w:bidi="fa-IR"/>
        </w:rPr>
        <w:t>References</w:t>
      </w:r>
    </w:p>
    <w:p w14:paraId="236CBD1B"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Agarwal, S., Singh, T. P., Bajaj, D., &amp; Pant, V. (2022). Affordable housing in urban India: A review of critical success factors (CSFs) addressing housing adequacy with affordability for the urban poor. Housing, Care and Support, 25(1), 61-79.</w:t>
      </w:r>
    </w:p>
    <w:p w14:paraId="1D9F78B2"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Australian Housing, Local Government and Planning Ministers (2006), Framework for National Action on Affordable Housing, COAG Working Paper, Canberra.</w:t>
      </w:r>
    </w:p>
    <w:p w14:paraId="09E60DD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Australian Council of Social Service and Others (2007), National Affordable Housing Summit.</w:t>
      </w:r>
    </w:p>
    <w:p w14:paraId="59AEE93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Barker, K. (2004). Review of Housing Supply. HMSO Her Majesty´s Stationery Office</w:t>
      </w:r>
      <w:r w:rsidRPr="000037CA">
        <w:rPr>
          <w:rFonts w:asciiTheme="majorBidi" w:hAnsiTheme="majorBidi" w:cstheme="majorBidi"/>
          <w:sz w:val="20"/>
          <w:szCs w:val="20"/>
          <w:rtl/>
        </w:rPr>
        <w:t>.</w:t>
      </w:r>
      <w:r w:rsidRPr="000037CA">
        <w:rPr>
          <w:rFonts w:asciiTheme="majorBidi" w:hAnsiTheme="majorBidi" w:cstheme="majorBidi"/>
          <w:sz w:val="20"/>
          <w:szCs w:val="20"/>
          <w:lang w:bidi="fa-IR"/>
        </w:rPr>
        <w:fldChar w:fldCharType="begin"/>
      </w:r>
      <w:r w:rsidRPr="000037CA">
        <w:rPr>
          <w:rFonts w:asciiTheme="majorBidi" w:hAnsiTheme="majorBidi" w:cstheme="majorBidi"/>
          <w:sz w:val="20"/>
          <w:szCs w:val="20"/>
          <w:lang w:bidi="fa-IR"/>
        </w:rPr>
        <w:instrText xml:space="preserve"> HYPERLINK "https://doi.org/10.1037/015276" </w:instrText>
      </w:r>
      <w:r w:rsidRPr="000037CA">
        <w:rPr>
          <w:rFonts w:asciiTheme="majorBidi" w:hAnsiTheme="majorBidi" w:cstheme="majorBidi"/>
          <w:sz w:val="20"/>
          <w:szCs w:val="20"/>
          <w:lang w:bidi="fa-IR"/>
        </w:rPr>
        <w:fldChar w:fldCharType="separate"/>
      </w:r>
      <w:r w:rsidRPr="000037CA">
        <w:rPr>
          <w:rStyle w:val="Hyperlink"/>
          <w:rFonts w:asciiTheme="majorBidi" w:hAnsiTheme="majorBidi" w:cstheme="majorBidi"/>
          <w:sz w:val="20"/>
          <w:szCs w:val="20"/>
          <w:lang w:bidi="fa-IR"/>
        </w:rPr>
        <w:t>https://doi.org/10.1037/015276</w:t>
      </w:r>
      <w:r w:rsidRPr="000037CA">
        <w:rPr>
          <w:rFonts w:asciiTheme="majorBidi" w:hAnsiTheme="majorBidi" w:cstheme="majorBidi"/>
          <w:sz w:val="20"/>
          <w:szCs w:val="20"/>
          <w:lang w:bidi="fa-IR"/>
        </w:rPr>
        <w:fldChar w:fldCharType="end"/>
      </w:r>
      <w:r w:rsidRPr="000037CA">
        <w:rPr>
          <w:rFonts w:asciiTheme="majorBidi" w:hAnsiTheme="majorBidi" w:cstheme="majorBidi"/>
          <w:sz w:val="20"/>
          <w:szCs w:val="20"/>
          <w:lang w:bidi="fa-IR"/>
        </w:rPr>
        <w:t>.</w:t>
      </w:r>
    </w:p>
    <w:p w14:paraId="2636E96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rtl/>
        </w:rPr>
      </w:pPr>
      <w:r w:rsidRPr="000037CA">
        <w:rPr>
          <w:rFonts w:asciiTheme="majorBidi" w:hAnsiTheme="majorBidi" w:cstheme="majorBidi"/>
          <w:sz w:val="20"/>
          <w:szCs w:val="20"/>
          <w:lang w:bidi="fa-IR"/>
        </w:rPr>
        <w:t>Chen, Y., Liu, T., Ge, Y., Xia, S., Yuan, Y., Li, W., &amp; Xu, H. (2021). Examining social vulnerability to flood of affordable housing communities in Nanjing, China: Building long-term disaster resilience of low-income communities. Sustainable Cities and Society, 71, 102939.</w:t>
      </w:r>
    </w:p>
    <w:p w14:paraId="23A60F1C"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lastRenderedPageBreak/>
        <w:t>Donner, C. (2000). Housing policies in the European Union: Theory and practice. Vienna: Donner.</w:t>
      </w:r>
    </w:p>
    <w:p w14:paraId="349E5919"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Favilukis</w:t>
      </w:r>
      <w:proofErr w:type="spellEnd"/>
      <w:r w:rsidRPr="000037CA">
        <w:rPr>
          <w:rFonts w:asciiTheme="majorBidi" w:hAnsiTheme="majorBidi" w:cstheme="majorBidi"/>
          <w:sz w:val="20"/>
          <w:szCs w:val="20"/>
          <w:lang w:bidi="fa-IR"/>
        </w:rPr>
        <w:t xml:space="preserve">, J., </w:t>
      </w:r>
      <w:proofErr w:type="spellStart"/>
      <w:r w:rsidRPr="000037CA">
        <w:rPr>
          <w:rFonts w:asciiTheme="majorBidi" w:hAnsiTheme="majorBidi" w:cstheme="majorBidi"/>
          <w:sz w:val="20"/>
          <w:szCs w:val="20"/>
          <w:lang w:bidi="fa-IR"/>
        </w:rPr>
        <w:t>Mabille</w:t>
      </w:r>
      <w:proofErr w:type="spellEnd"/>
      <w:r w:rsidRPr="000037CA">
        <w:rPr>
          <w:rFonts w:asciiTheme="majorBidi" w:hAnsiTheme="majorBidi" w:cstheme="majorBidi"/>
          <w:sz w:val="20"/>
          <w:szCs w:val="20"/>
          <w:lang w:bidi="fa-IR"/>
        </w:rPr>
        <w:t xml:space="preserve">, P., &amp; Van </w:t>
      </w:r>
      <w:proofErr w:type="spellStart"/>
      <w:r w:rsidRPr="000037CA">
        <w:rPr>
          <w:rFonts w:asciiTheme="majorBidi" w:hAnsiTheme="majorBidi" w:cstheme="majorBidi"/>
          <w:sz w:val="20"/>
          <w:szCs w:val="20"/>
          <w:lang w:bidi="fa-IR"/>
        </w:rPr>
        <w:t>Nieuwerburgh</w:t>
      </w:r>
      <w:proofErr w:type="spellEnd"/>
      <w:r w:rsidRPr="000037CA">
        <w:rPr>
          <w:rFonts w:asciiTheme="majorBidi" w:hAnsiTheme="majorBidi" w:cstheme="majorBidi"/>
          <w:sz w:val="20"/>
          <w:szCs w:val="20"/>
          <w:lang w:bidi="fa-IR"/>
        </w:rPr>
        <w:t>, S. (2019). Affordable housing and city welfare (No. w25906). National Bureau of Economic Research.</w:t>
      </w:r>
      <w:r w:rsidRPr="000037CA">
        <w:rPr>
          <w:rFonts w:asciiTheme="majorBidi" w:hAnsiTheme="majorBidi" w:cstheme="majorBidi"/>
          <w:sz w:val="20"/>
          <w:szCs w:val="20"/>
          <w:rtl/>
        </w:rPr>
        <w:t>‏</w:t>
      </w:r>
    </w:p>
    <w:p w14:paraId="39CCE934"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Gan, X., </w:t>
      </w:r>
      <w:proofErr w:type="spellStart"/>
      <w:r w:rsidRPr="000037CA">
        <w:rPr>
          <w:rFonts w:asciiTheme="majorBidi" w:hAnsiTheme="majorBidi" w:cstheme="majorBidi"/>
          <w:sz w:val="20"/>
          <w:szCs w:val="20"/>
          <w:lang w:bidi="fa-IR"/>
        </w:rPr>
        <w:t>Zuo</w:t>
      </w:r>
      <w:proofErr w:type="spellEnd"/>
      <w:r w:rsidRPr="000037CA">
        <w:rPr>
          <w:rFonts w:asciiTheme="majorBidi" w:hAnsiTheme="majorBidi" w:cstheme="majorBidi"/>
          <w:sz w:val="20"/>
          <w:szCs w:val="20"/>
          <w:lang w:bidi="fa-IR"/>
        </w:rPr>
        <w:t xml:space="preserve">, J., Wu, P., Wang, J., Chang, R., &amp; Wen, T. (2017). How affordable housing becomes more sustainable? A stakeholder </w:t>
      </w:r>
      <w:proofErr w:type="gramStart"/>
      <w:r w:rsidRPr="000037CA">
        <w:rPr>
          <w:rFonts w:asciiTheme="majorBidi" w:hAnsiTheme="majorBidi" w:cstheme="majorBidi"/>
          <w:sz w:val="20"/>
          <w:szCs w:val="20"/>
          <w:lang w:bidi="fa-IR"/>
        </w:rPr>
        <w:t>study</w:t>
      </w:r>
      <w:proofErr w:type="gramEnd"/>
      <w:r w:rsidRPr="000037CA">
        <w:rPr>
          <w:rFonts w:asciiTheme="majorBidi" w:hAnsiTheme="majorBidi" w:cstheme="majorBidi"/>
          <w:sz w:val="20"/>
          <w:szCs w:val="20"/>
          <w:lang w:bidi="fa-IR"/>
        </w:rPr>
        <w:t>. Journal of Cleaner Production, 162, 427-437.</w:t>
      </w:r>
      <w:r w:rsidRPr="000037CA">
        <w:rPr>
          <w:rFonts w:asciiTheme="majorBidi" w:hAnsiTheme="majorBidi" w:cstheme="majorBidi"/>
          <w:sz w:val="20"/>
          <w:szCs w:val="20"/>
          <w:rtl/>
        </w:rPr>
        <w:t>‏</w:t>
      </w:r>
    </w:p>
    <w:p w14:paraId="051B308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proofErr w:type="gramStart"/>
      <w:r w:rsidRPr="000037CA">
        <w:rPr>
          <w:rFonts w:asciiTheme="majorBidi" w:hAnsiTheme="majorBidi" w:cstheme="majorBidi"/>
          <w:sz w:val="20"/>
          <w:szCs w:val="20"/>
          <w:lang w:bidi="fa-IR"/>
        </w:rPr>
        <w:t>Golland,A</w:t>
      </w:r>
      <w:proofErr w:type="spellEnd"/>
      <w:proofErr w:type="gramEnd"/>
      <w:r w:rsidRPr="000037CA">
        <w:rPr>
          <w:rFonts w:asciiTheme="majorBidi" w:hAnsiTheme="majorBidi" w:cstheme="majorBidi"/>
          <w:sz w:val="20"/>
          <w:szCs w:val="20"/>
          <w:lang w:bidi="fa-IR"/>
        </w:rPr>
        <w:t xml:space="preserve"> &amp; </w:t>
      </w:r>
      <w:proofErr w:type="spellStart"/>
      <w:r w:rsidRPr="000037CA">
        <w:rPr>
          <w:rFonts w:asciiTheme="majorBidi" w:hAnsiTheme="majorBidi" w:cstheme="majorBidi"/>
          <w:sz w:val="20"/>
          <w:szCs w:val="20"/>
          <w:lang w:bidi="fa-IR"/>
        </w:rPr>
        <w:t>Blake,R</w:t>
      </w:r>
      <w:proofErr w:type="spellEnd"/>
      <w:r w:rsidRPr="000037CA">
        <w:rPr>
          <w:rFonts w:asciiTheme="majorBidi" w:hAnsiTheme="majorBidi" w:cstheme="majorBidi"/>
          <w:sz w:val="20"/>
          <w:szCs w:val="20"/>
          <w:lang w:bidi="fa-IR"/>
        </w:rPr>
        <w:t xml:space="preserve"> (2007) Housing Development : Theory, Process and Practice (2nd Edition) , </w:t>
      </w:r>
      <w:proofErr w:type="spellStart"/>
      <w:r w:rsidRPr="000037CA">
        <w:rPr>
          <w:rFonts w:asciiTheme="majorBidi" w:hAnsiTheme="majorBidi" w:cstheme="majorBidi"/>
          <w:sz w:val="20"/>
          <w:szCs w:val="20"/>
          <w:lang w:bidi="fa-IR"/>
        </w:rPr>
        <w:t>Routledege</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U.Kingdom</w:t>
      </w:r>
      <w:proofErr w:type="spellEnd"/>
    </w:p>
    <w:p w14:paraId="7F22880E"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Harvey, J. and, &amp; </w:t>
      </w:r>
      <w:proofErr w:type="spellStart"/>
      <w:r w:rsidRPr="000037CA">
        <w:rPr>
          <w:rFonts w:asciiTheme="majorBidi" w:hAnsiTheme="majorBidi" w:cstheme="majorBidi"/>
          <w:sz w:val="20"/>
          <w:szCs w:val="20"/>
          <w:lang w:bidi="fa-IR"/>
        </w:rPr>
        <w:t>Jowsey</w:t>
      </w:r>
      <w:proofErr w:type="spellEnd"/>
      <w:r w:rsidRPr="000037CA">
        <w:rPr>
          <w:rFonts w:asciiTheme="majorBidi" w:hAnsiTheme="majorBidi" w:cstheme="majorBidi"/>
          <w:sz w:val="20"/>
          <w:szCs w:val="20"/>
          <w:lang w:bidi="fa-IR"/>
        </w:rPr>
        <w:t>, E. (2004). Land Use and Land Values. Urban Land Economics, 233–246.</w:t>
      </w:r>
    </w:p>
    <w:p w14:paraId="6ACA846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Henilane</w:t>
      </w:r>
      <w:proofErr w:type="spellEnd"/>
      <w:r w:rsidRPr="000037CA">
        <w:rPr>
          <w:rFonts w:asciiTheme="majorBidi" w:hAnsiTheme="majorBidi" w:cstheme="majorBidi"/>
          <w:sz w:val="20"/>
          <w:szCs w:val="20"/>
          <w:lang w:bidi="fa-IR"/>
        </w:rPr>
        <w:t>, I. (2016). Housing concept and analysis of housing classification. Baltic Journal of Real Estate Economics and Construction Management, 4(1), 168-179.</w:t>
      </w:r>
    </w:p>
    <w:p w14:paraId="76478032"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Hulchanski</w:t>
      </w:r>
      <w:proofErr w:type="spellEnd"/>
      <w:r w:rsidRPr="000037CA">
        <w:rPr>
          <w:rFonts w:asciiTheme="majorBidi" w:hAnsiTheme="majorBidi" w:cstheme="majorBidi"/>
          <w:sz w:val="20"/>
          <w:szCs w:val="20"/>
          <w:lang w:bidi="fa-IR"/>
        </w:rPr>
        <w:t xml:space="preserve"> JD (1995). The concept of housing affordability: Six contemporary uses of the housing expenditure-to-income ratio. Housing Stud.10(4):471–91.</w:t>
      </w:r>
    </w:p>
    <w:p w14:paraId="300DF155"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Lin, Y., Liu, Z., Luan, H., Sun, M., Rao, S., &amp; Liu, S. (2015). Modeling relation paths for representation learning of knowledge bases. </w:t>
      </w:r>
      <w:proofErr w:type="spellStart"/>
      <w:r w:rsidRPr="000037CA">
        <w:rPr>
          <w:rFonts w:asciiTheme="majorBidi" w:hAnsiTheme="majorBidi" w:cstheme="majorBidi"/>
          <w:sz w:val="20"/>
          <w:szCs w:val="20"/>
          <w:lang w:bidi="fa-IR"/>
        </w:rPr>
        <w:t>arXiv</w:t>
      </w:r>
      <w:proofErr w:type="spellEnd"/>
      <w:r w:rsidRPr="000037CA">
        <w:rPr>
          <w:rFonts w:asciiTheme="majorBidi" w:hAnsiTheme="majorBidi" w:cstheme="majorBidi"/>
          <w:sz w:val="20"/>
          <w:szCs w:val="20"/>
          <w:lang w:bidi="fa-IR"/>
        </w:rPr>
        <w:t xml:space="preserve"> preprint arXiv:1506.00379.</w:t>
      </w:r>
    </w:p>
    <w:p w14:paraId="21F00466"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rtl/>
        </w:rPr>
      </w:pPr>
      <w:r w:rsidRPr="000037CA">
        <w:rPr>
          <w:rFonts w:asciiTheme="majorBidi" w:hAnsiTheme="majorBidi" w:cstheme="majorBidi"/>
          <w:sz w:val="20"/>
          <w:szCs w:val="20"/>
          <w:lang w:bidi="fa-IR"/>
        </w:rPr>
        <w:t xml:space="preserve">MacAskill, S., </w:t>
      </w:r>
      <w:proofErr w:type="spellStart"/>
      <w:r w:rsidRPr="000037CA">
        <w:rPr>
          <w:rFonts w:asciiTheme="majorBidi" w:hAnsiTheme="majorBidi" w:cstheme="majorBidi"/>
          <w:sz w:val="20"/>
          <w:szCs w:val="20"/>
          <w:lang w:bidi="fa-IR"/>
        </w:rPr>
        <w:t>Sahin</w:t>
      </w:r>
      <w:proofErr w:type="spellEnd"/>
      <w:r w:rsidRPr="000037CA">
        <w:rPr>
          <w:rFonts w:asciiTheme="majorBidi" w:hAnsiTheme="majorBidi" w:cstheme="majorBidi"/>
          <w:sz w:val="20"/>
          <w:szCs w:val="20"/>
          <w:lang w:bidi="fa-IR"/>
        </w:rPr>
        <w:t>, O., Stewart, R. A., Roca, E., &amp; Liu, B. (2021). Examining green affordable housing policy outcomes in Australia: A systems approach. Journal of Cleaner Production, 293, 126212.</w:t>
      </w:r>
    </w:p>
    <w:p w14:paraId="0FE59194"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Marks, G.N. and Sedgwick, S.T. (2008), ‘Is there a Housing Crisis? The Incidence and Persistence of Housing Stress 2001–2006’, Australian Economic Review, 41 (2), 215– 21.</w:t>
      </w:r>
    </w:p>
    <w:p w14:paraId="750E8A0B"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Masram</w:t>
      </w:r>
      <w:proofErr w:type="spellEnd"/>
      <w:r w:rsidRPr="000037CA">
        <w:rPr>
          <w:rFonts w:asciiTheme="majorBidi" w:hAnsiTheme="majorBidi" w:cstheme="majorBidi"/>
          <w:sz w:val="20"/>
          <w:szCs w:val="20"/>
          <w:lang w:bidi="fa-IR"/>
        </w:rPr>
        <w:t xml:space="preserve">, H., &amp; </w:t>
      </w:r>
      <w:proofErr w:type="spellStart"/>
      <w:r w:rsidRPr="000037CA">
        <w:rPr>
          <w:rFonts w:asciiTheme="majorBidi" w:hAnsiTheme="majorBidi" w:cstheme="majorBidi"/>
          <w:sz w:val="20"/>
          <w:szCs w:val="20"/>
          <w:lang w:bidi="fa-IR"/>
        </w:rPr>
        <w:t>Misnan</w:t>
      </w:r>
      <w:proofErr w:type="spellEnd"/>
      <w:r w:rsidRPr="000037CA">
        <w:rPr>
          <w:rFonts w:asciiTheme="majorBidi" w:hAnsiTheme="majorBidi" w:cstheme="majorBidi"/>
          <w:sz w:val="20"/>
          <w:szCs w:val="20"/>
          <w:lang w:bidi="fa-IR"/>
        </w:rPr>
        <w:t xml:space="preserve">, S. H. (2019). Evolution of policy for affordable housing </w:t>
      </w:r>
      <w:proofErr w:type="spellStart"/>
      <w:r w:rsidRPr="000037CA">
        <w:rPr>
          <w:rFonts w:asciiTheme="majorBidi" w:hAnsiTheme="majorBidi" w:cstheme="majorBidi"/>
          <w:sz w:val="20"/>
          <w:szCs w:val="20"/>
          <w:lang w:bidi="fa-IR"/>
        </w:rPr>
        <w:t>programmes</w:t>
      </w:r>
      <w:proofErr w:type="spellEnd"/>
      <w:r w:rsidRPr="000037CA">
        <w:rPr>
          <w:rFonts w:asciiTheme="majorBidi" w:hAnsiTheme="majorBidi" w:cstheme="majorBidi"/>
          <w:sz w:val="20"/>
          <w:szCs w:val="20"/>
          <w:lang w:bidi="fa-IR"/>
        </w:rPr>
        <w:t xml:space="preserve"> in Malaysia. International Journal of Accounting, Finance and Business (IJAFB), 4(17), 86-98.</w:t>
      </w:r>
    </w:p>
    <w:p w14:paraId="49D2B970"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Moghayedi</w:t>
      </w:r>
      <w:proofErr w:type="spellEnd"/>
      <w:r w:rsidRPr="000037CA">
        <w:rPr>
          <w:rFonts w:asciiTheme="majorBidi" w:hAnsiTheme="majorBidi" w:cstheme="majorBidi"/>
          <w:sz w:val="20"/>
          <w:szCs w:val="20"/>
          <w:lang w:bidi="fa-IR"/>
        </w:rPr>
        <w:t xml:space="preserve">, A., </w:t>
      </w:r>
      <w:proofErr w:type="spellStart"/>
      <w:r w:rsidRPr="000037CA">
        <w:rPr>
          <w:rFonts w:asciiTheme="majorBidi" w:hAnsiTheme="majorBidi" w:cstheme="majorBidi"/>
          <w:sz w:val="20"/>
          <w:szCs w:val="20"/>
          <w:lang w:bidi="fa-IR"/>
        </w:rPr>
        <w:t>Awuzie</w:t>
      </w:r>
      <w:proofErr w:type="spellEnd"/>
      <w:r w:rsidRPr="000037CA">
        <w:rPr>
          <w:rFonts w:asciiTheme="majorBidi" w:hAnsiTheme="majorBidi" w:cstheme="majorBidi"/>
          <w:sz w:val="20"/>
          <w:szCs w:val="20"/>
          <w:lang w:bidi="fa-IR"/>
        </w:rPr>
        <w:t xml:space="preserve">, B., Omotayo, T., Le </w:t>
      </w:r>
      <w:proofErr w:type="spellStart"/>
      <w:r w:rsidRPr="000037CA">
        <w:rPr>
          <w:rFonts w:asciiTheme="majorBidi" w:hAnsiTheme="majorBidi" w:cstheme="majorBidi"/>
          <w:sz w:val="20"/>
          <w:szCs w:val="20"/>
          <w:lang w:bidi="fa-IR"/>
        </w:rPr>
        <w:t>Jeune</w:t>
      </w:r>
      <w:proofErr w:type="spellEnd"/>
      <w:r w:rsidRPr="000037CA">
        <w:rPr>
          <w:rFonts w:asciiTheme="majorBidi" w:hAnsiTheme="majorBidi" w:cstheme="majorBidi"/>
          <w:sz w:val="20"/>
          <w:szCs w:val="20"/>
          <w:lang w:bidi="fa-IR"/>
        </w:rPr>
        <w:t xml:space="preserve">, K., </w:t>
      </w:r>
      <w:proofErr w:type="spellStart"/>
      <w:r w:rsidRPr="000037CA">
        <w:rPr>
          <w:rFonts w:asciiTheme="majorBidi" w:hAnsiTheme="majorBidi" w:cstheme="majorBidi"/>
          <w:sz w:val="20"/>
          <w:szCs w:val="20"/>
          <w:lang w:bidi="fa-IR"/>
        </w:rPr>
        <w:t>Massyn</w:t>
      </w:r>
      <w:proofErr w:type="spellEnd"/>
      <w:r w:rsidRPr="000037CA">
        <w:rPr>
          <w:rFonts w:asciiTheme="majorBidi" w:hAnsiTheme="majorBidi" w:cstheme="majorBidi"/>
          <w:sz w:val="20"/>
          <w:szCs w:val="20"/>
          <w:lang w:bidi="fa-IR"/>
        </w:rPr>
        <w:t xml:space="preserve">, M., </w:t>
      </w:r>
      <w:proofErr w:type="spellStart"/>
      <w:r w:rsidRPr="000037CA">
        <w:rPr>
          <w:rFonts w:asciiTheme="majorBidi" w:hAnsiTheme="majorBidi" w:cstheme="majorBidi"/>
          <w:sz w:val="20"/>
          <w:szCs w:val="20"/>
          <w:lang w:bidi="fa-IR"/>
        </w:rPr>
        <w:t>Ekpo</w:t>
      </w:r>
      <w:proofErr w:type="spellEnd"/>
      <w:r w:rsidRPr="000037CA">
        <w:rPr>
          <w:rFonts w:asciiTheme="majorBidi" w:hAnsiTheme="majorBidi" w:cstheme="majorBidi"/>
          <w:sz w:val="20"/>
          <w:szCs w:val="20"/>
          <w:lang w:bidi="fa-IR"/>
        </w:rPr>
        <w:t xml:space="preserve">, C. O., ... &amp; Byron, P. (2021). A critical success factor framework for implementing sustainable innovative and affordable housing: a systematic review and bibliometric analysis. </w:t>
      </w:r>
      <w:r w:rsidRPr="000037CA">
        <w:rPr>
          <w:rFonts w:asciiTheme="majorBidi" w:hAnsiTheme="majorBidi" w:cstheme="majorBidi"/>
          <w:i/>
          <w:iCs/>
          <w:sz w:val="20"/>
          <w:szCs w:val="20"/>
          <w:lang w:bidi="fa-IR"/>
        </w:rPr>
        <w:t>Buildings</w:t>
      </w:r>
      <w:r w:rsidRPr="000037CA">
        <w:rPr>
          <w:rFonts w:asciiTheme="majorBidi" w:hAnsiTheme="majorBidi" w:cstheme="majorBidi"/>
          <w:sz w:val="20"/>
          <w:szCs w:val="20"/>
          <w:lang w:bidi="fa-IR"/>
        </w:rPr>
        <w:t>, 11(8), 317.</w:t>
      </w:r>
    </w:p>
    <w:p w14:paraId="3420D7D4"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Musole</w:t>
      </w:r>
      <w:proofErr w:type="spellEnd"/>
      <w:r w:rsidRPr="000037CA">
        <w:rPr>
          <w:rFonts w:asciiTheme="majorBidi" w:hAnsiTheme="majorBidi" w:cstheme="majorBidi"/>
          <w:sz w:val="20"/>
          <w:szCs w:val="20"/>
          <w:lang w:bidi="fa-IR"/>
        </w:rPr>
        <w:t>, M. (2009). Property rights, transaction costs and institutional change: Conceptual framework and literature review. Progress in Planning, 71(2), 43–85. https://doi.org/10.1016/j.progress.2008.09.002</w:t>
      </w:r>
    </w:p>
    <w:p w14:paraId="6B04A732"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OECD (2021), “Building for a better tomorrow: Policies to make housing more affordable,” Employment, </w:t>
      </w:r>
      <w:proofErr w:type="spellStart"/>
      <w:r w:rsidRPr="000037CA">
        <w:rPr>
          <w:rFonts w:asciiTheme="majorBidi" w:hAnsiTheme="majorBidi" w:cstheme="majorBidi"/>
          <w:sz w:val="20"/>
          <w:szCs w:val="20"/>
          <w:lang w:bidi="fa-IR"/>
        </w:rPr>
        <w:t>Labour</w:t>
      </w:r>
      <w:proofErr w:type="spellEnd"/>
      <w:r w:rsidRPr="000037CA">
        <w:rPr>
          <w:rFonts w:asciiTheme="majorBidi" w:hAnsiTheme="majorBidi" w:cstheme="majorBidi"/>
          <w:sz w:val="20"/>
          <w:szCs w:val="20"/>
          <w:lang w:bidi="fa-IR"/>
        </w:rPr>
        <w:t xml:space="preserve"> and Social Affairs Policy Briefs, OECD, Paris.</w:t>
      </w:r>
    </w:p>
    <w:p w14:paraId="2C8F186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Powell, R., Dunning, R., Ferrari, E., &amp; McKee, K. (2015). Affordable housing need in Scotland.</w:t>
      </w:r>
    </w:p>
    <w:p w14:paraId="54E19099" w14:textId="2AA7E5CF" w:rsidR="000037CA" w:rsidRPr="000037CA" w:rsidRDefault="000037CA" w:rsidP="000037CA">
      <w:pPr>
        <w:pStyle w:val="ListParagraph"/>
        <w:numPr>
          <w:ilvl w:val="0"/>
          <w:numId w:val="4"/>
        </w:numPr>
        <w:spacing w:after="0" w:line="240" w:lineRule="auto"/>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Ranjbar</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Hamghavandi</w:t>
      </w:r>
      <w:proofErr w:type="spellEnd"/>
      <w:r w:rsidRPr="000037CA">
        <w:rPr>
          <w:rFonts w:asciiTheme="majorBidi" w:hAnsiTheme="majorBidi" w:cstheme="majorBidi"/>
          <w:sz w:val="20"/>
          <w:szCs w:val="20"/>
          <w:lang w:bidi="fa-IR"/>
        </w:rPr>
        <w:t xml:space="preserve">, Rezaei, </w:t>
      </w:r>
      <w:proofErr w:type="spellStart"/>
      <w:r w:rsidRPr="000037CA">
        <w:rPr>
          <w:rFonts w:asciiTheme="majorBidi" w:hAnsiTheme="majorBidi" w:cstheme="majorBidi"/>
          <w:sz w:val="20"/>
          <w:szCs w:val="20"/>
          <w:lang w:bidi="fa-IR"/>
        </w:rPr>
        <w:t>Hosseinina</w:t>
      </w:r>
      <w:proofErr w:type="spellEnd"/>
      <w:r w:rsidRPr="000037CA">
        <w:rPr>
          <w:rFonts w:asciiTheme="majorBidi" w:hAnsiTheme="majorBidi" w:cstheme="majorBidi"/>
          <w:sz w:val="20"/>
          <w:szCs w:val="20"/>
          <w:lang w:bidi="fa-IR"/>
        </w:rPr>
        <w:t>. (2021).</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Investigating the Impact of Physical Indicators of Affordable Housing from an Energy Efficiency Perspective (A Review of Global Examples).</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Published in Journal of Energy Planning and Policy Research, Volume 7, Issue 3, pp. 124-151.</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w:t>
      </w:r>
      <w:proofErr w:type="spellStart"/>
      <w:r w:rsidRPr="000037CA">
        <w:rPr>
          <w:rFonts w:asciiTheme="majorBidi" w:hAnsiTheme="majorBidi" w:cstheme="majorBidi"/>
          <w:sz w:val="20"/>
          <w:szCs w:val="20"/>
          <w:lang w:bidi="fa-IR"/>
        </w:rPr>
        <w:t>persian</w:t>
      </w:r>
      <w:proofErr w:type="spellEnd"/>
      <w:r w:rsidRPr="000037CA">
        <w:rPr>
          <w:rFonts w:asciiTheme="majorBidi" w:hAnsiTheme="majorBidi" w:cstheme="majorBidi"/>
          <w:sz w:val="20"/>
          <w:szCs w:val="20"/>
          <w:lang w:bidi="fa-IR"/>
        </w:rPr>
        <w:t>)</w:t>
      </w:r>
    </w:p>
    <w:p w14:paraId="08A92A20" w14:textId="72918D2B"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Reeves, </w:t>
      </w:r>
      <w:proofErr w:type="gramStart"/>
      <w:r w:rsidRPr="000037CA">
        <w:rPr>
          <w:rFonts w:asciiTheme="majorBidi" w:hAnsiTheme="majorBidi" w:cstheme="majorBidi"/>
          <w:sz w:val="20"/>
          <w:szCs w:val="20"/>
          <w:lang w:bidi="fa-IR"/>
        </w:rPr>
        <w:t>P.( 2014</w:t>
      </w:r>
      <w:proofErr w:type="gramEnd"/>
      <w:r w:rsidRPr="000037CA">
        <w:rPr>
          <w:rFonts w:asciiTheme="majorBidi" w:hAnsiTheme="majorBidi" w:cstheme="majorBidi"/>
          <w:sz w:val="20"/>
          <w:szCs w:val="20"/>
          <w:lang w:bidi="fa-IR"/>
        </w:rPr>
        <w:t xml:space="preserve">). Affordable and Social </w:t>
      </w:r>
      <w:proofErr w:type="gramStart"/>
      <w:r w:rsidRPr="000037CA">
        <w:rPr>
          <w:rFonts w:asciiTheme="majorBidi" w:hAnsiTheme="majorBidi" w:cstheme="majorBidi"/>
          <w:sz w:val="20"/>
          <w:szCs w:val="20"/>
          <w:lang w:bidi="fa-IR"/>
        </w:rPr>
        <w:t>Housing :</w:t>
      </w:r>
      <w:proofErr w:type="gramEnd"/>
      <w:r w:rsidRPr="000037CA">
        <w:rPr>
          <w:rFonts w:asciiTheme="majorBidi" w:hAnsiTheme="majorBidi" w:cstheme="majorBidi"/>
          <w:sz w:val="20"/>
          <w:szCs w:val="20"/>
          <w:lang w:bidi="fa-IR"/>
        </w:rPr>
        <w:t xml:space="preserve"> Policy and practice. Routledge</w:t>
      </w:r>
    </w:p>
    <w:p w14:paraId="5CC1D242"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Riley, E. D., Hickey, M. D., Imbert, E., </w:t>
      </w:r>
      <w:proofErr w:type="spellStart"/>
      <w:r w:rsidRPr="000037CA">
        <w:rPr>
          <w:rFonts w:asciiTheme="majorBidi" w:hAnsiTheme="majorBidi" w:cstheme="majorBidi"/>
          <w:sz w:val="20"/>
          <w:szCs w:val="20"/>
          <w:lang w:bidi="fa-IR"/>
        </w:rPr>
        <w:t>Clemenzi</w:t>
      </w:r>
      <w:proofErr w:type="spellEnd"/>
      <w:r w:rsidRPr="000037CA">
        <w:rPr>
          <w:rFonts w:asciiTheme="majorBidi" w:hAnsiTheme="majorBidi" w:cstheme="majorBidi"/>
          <w:sz w:val="20"/>
          <w:szCs w:val="20"/>
          <w:lang w:bidi="fa-IR"/>
        </w:rPr>
        <w:t xml:space="preserve">-Allen, A. A., &amp; Gandhi, M. (2021). Coronavirus disease 2019 (COVID-19) and HIV spotlight the United States imperative for permanent affordable housing. </w:t>
      </w:r>
      <w:r w:rsidRPr="000037CA">
        <w:rPr>
          <w:rFonts w:asciiTheme="majorBidi" w:hAnsiTheme="majorBidi" w:cstheme="majorBidi"/>
          <w:i/>
          <w:iCs/>
          <w:sz w:val="20"/>
          <w:szCs w:val="20"/>
          <w:lang w:bidi="fa-IR"/>
        </w:rPr>
        <w:t>Clinical Infectious Diseases</w:t>
      </w:r>
      <w:r w:rsidRPr="000037CA">
        <w:rPr>
          <w:rFonts w:asciiTheme="majorBidi" w:hAnsiTheme="majorBidi" w:cstheme="majorBidi"/>
          <w:sz w:val="20"/>
          <w:szCs w:val="20"/>
          <w:lang w:bidi="fa-IR"/>
        </w:rPr>
        <w:t>, 72(11), 2042-2043.</w:t>
      </w:r>
    </w:p>
    <w:p w14:paraId="308EBC05" w14:textId="68FF5A84" w:rsidR="000037CA" w:rsidRPr="000037CA" w:rsidRDefault="000037CA" w:rsidP="000037CA">
      <w:pPr>
        <w:pStyle w:val="ListParagraph"/>
        <w:numPr>
          <w:ilvl w:val="0"/>
          <w:numId w:val="4"/>
        </w:numPr>
        <w:spacing w:after="0" w:line="240" w:lineRule="auto"/>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Safaipour</w:t>
      </w:r>
      <w:proofErr w:type="spellEnd"/>
      <w:r w:rsidRPr="000037CA">
        <w:rPr>
          <w:rFonts w:asciiTheme="majorBidi" w:hAnsiTheme="majorBidi" w:cstheme="majorBidi"/>
          <w:sz w:val="20"/>
          <w:szCs w:val="20"/>
          <w:lang w:bidi="fa-IR"/>
        </w:rPr>
        <w:t xml:space="preserve">, Masoud, and </w:t>
      </w:r>
      <w:proofErr w:type="spellStart"/>
      <w:r w:rsidRPr="000037CA">
        <w:rPr>
          <w:rFonts w:asciiTheme="majorBidi" w:hAnsiTheme="majorBidi" w:cstheme="majorBidi"/>
          <w:sz w:val="20"/>
          <w:szCs w:val="20"/>
          <w:lang w:bidi="fa-IR"/>
        </w:rPr>
        <w:t>Fadaei</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Jazi</w:t>
      </w:r>
      <w:proofErr w:type="spellEnd"/>
      <w:r w:rsidRPr="000037CA">
        <w:rPr>
          <w:rFonts w:asciiTheme="majorBidi" w:hAnsiTheme="majorBidi" w:cstheme="majorBidi"/>
          <w:sz w:val="20"/>
          <w:szCs w:val="20"/>
          <w:lang w:bidi="fa-IR"/>
        </w:rPr>
        <w:t>. (2023).</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Futures Studies of the Housing Supply System in Iranian Metropolises (Case Study: Ahvaz Metropolis).</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Published in Geography and Environmental Planning, Volume 34, Issue 1, pp. 117-140</w:t>
      </w:r>
      <w:proofErr w:type="gramStart"/>
      <w:r w:rsidRPr="000037CA">
        <w:rPr>
          <w:rFonts w:asciiTheme="majorBidi" w:hAnsiTheme="majorBidi" w:cstheme="majorBidi"/>
          <w:sz w:val="20"/>
          <w:szCs w:val="20"/>
          <w:lang w:bidi="fa-IR"/>
        </w:rPr>
        <w:t>.</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w:t>
      </w:r>
      <w:proofErr w:type="gram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persian</w:t>
      </w:r>
      <w:proofErr w:type="spellEnd"/>
      <w:r w:rsidRPr="000037CA">
        <w:rPr>
          <w:rFonts w:asciiTheme="majorBidi" w:hAnsiTheme="majorBidi" w:cstheme="majorBidi"/>
          <w:sz w:val="20"/>
          <w:szCs w:val="20"/>
          <w:lang w:bidi="fa-IR"/>
        </w:rPr>
        <w:t>)</w:t>
      </w:r>
    </w:p>
    <w:p w14:paraId="12AC1681" w14:textId="1718E17A"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Sideļska</w:t>
      </w:r>
      <w:proofErr w:type="spellEnd"/>
      <w:r w:rsidRPr="000037CA">
        <w:rPr>
          <w:rFonts w:asciiTheme="majorBidi" w:hAnsiTheme="majorBidi" w:cstheme="majorBidi"/>
          <w:sz w:val="20"/>
          <w:szCs w:val="20"/>
          <w:lang w:bidi="fa-IR"/>
        </w:rPr>
        <w:t xml:space="preserve">, A. (2014). </w:t>
      </w:r>
      <w:proofErr w:type="spellStart"/>
      <w:r w:rsidRPr="000037CA">
        <w:rPr>
          <w:rFonts w:asciiTheme="majorBidi" w:hAnsiTheme="majorBidi" w:cstheme="majorBidi"/>
          <w:sz w:val="20"/>
          <w:szCs w:val="20"/>
          <w:lang w:bidi="fa-IR"/>
        </w:rPr>
        <w:t>Dzīvojamais</w:t>
      </w:r>
      <w:proofErr w:type="spellEnd"/>
      <w:r w:rsidRPr="000037CA">
        <w:rPr>
          <w:rFonts w:asciiTheme="majorBidi" w:hAnsiTheme="majorBidi" w:cstheme="majorBidi"/>
          <w:sz w:val="20"/>
          <w:szCs w:val="20"/>
          <w:lang w:bidi="fa-IR"/>
        </w:rPr>
        <w:t xml:space="preserve"> fonds </w:t>
      </w:r>
      <w:proofErr w:type="spellStart"/>
      <w:r w:rsidRPr="000037CA">
        <w:rPr>
          <w:rFonts w:asciiTheme="majorBidi" w:hAnsiTheme="majorBidi" w:cstheme="majorBidi"/>
          <w:sz w:val="20"/>
          <w:szCs w:val="20"/>
          <w:lang w:bidi="fa-IR"/>
        </w:rPr>
        <w:t>kā</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reģionu</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sociālekonomiskās</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attīstības</w:t>
      </w:r>
      <w:proofErr w:type="spellEnd"/>
      <w:r w:rsidRPr="000037CA">
        <w:rPr>
          <w:rFonts w:asciiTheme="majorBidi" w:hAnsiTheme="majorBidi" w:cstheme="majorBidi"/>
          <w:sz w:val="20"/>
          <w:szCs w:val="20"/>
          <w:lang w:bidi="fa-IR"/>
        </w:rPr>
        <w:t xml:space="preserve"> elements [Housing stock as an element of socio-economic </w:t>
      </w:r>
      <w:proofErr w:type="spellStart"/>
      <w:r w:rsidRPr="000037CA">
        <w:rPr>
          <w:rFonts w:asciiTheme="majorBidi" w:hAnsiTheme="majorBidi" w:cstheme="majorBidi"/>
          <w:sz w:val="20"/>
          <w:szCs w:val="20"/>
          <w:lang w:bidi="fa-IR"/>
        </w:rPr>
        <w:t>developmnet</w:t>
      </w:r>
      <w:proofErr w:type="spellEnd"/>
      <w:r w:rsidRPr="000037CA">
        <w:rPr>
          <w:rFonts w:asciiTheme="majorBidi" w:hAnsiTheme="majorBidi" w:cstheme="majorBidi"/>
          <w:sz w:val="20"/>
          <w:szCs w:val="20"/>
          <w:lang w:bidi="fa-IR"/>
        </w:rPr>
        <w:t xml:space="preserve"> of regions] (Doctoral dissertation, Doctoral thesis, Latvia University of Agriculture). Retrieved from http://llufb. </w:t>
      </w:r>
      <w:proofErr w:type="spellStart"/>
      <w:r w:rsidRPr="000037CA">
        <w:rPr>
          <w:rFonts w:asciiTheme="majorBidi" w:hAnsiTheme="majorBidi" w:cstheme="majorBidi"/>
          <w:sz w:val="20"/>
          <w:szCs w:val="20"/>
          <w:lang w:bidi="fa-IR"/>
        </w:rPr>
        <w:t>llu</w:t>
      </w:r>
      <w:proofErr w:type="spellEnd"/>
      <w:r w:rsidRPr="000037CA">
        <w:rPr>
          <w:rFonts w:asciiTheme="majorBidi" w:hAnsiTheme="majorBidi" w:cstheme="majorBidi"/>
          <w:sz w:val="20"/>
          <w:szCs w:val="20"/>
          <w:lang w:bidi="fa-IR"/>
        </w:rPr>
        <w:t>. lv/dissertation-summary/regionaleconomics/A_Sidelska_prom_darba_kopsavilkums_2014_LLU. pdf).</w:t>
      </w:r>
    </w:p>
    <w:p w14:paraId="5F5088D0" w14:textId="366335EF" w:rsidR="000037CA" w:rsidRPr="000037CA" w:rsidRDefault="000037CA" w:rsidP="000037CA">
      <w:pPr>
        <w:pStyle w:val="ListParagraph"/>
        <w:numPr>
          <w:ilvl w:val="0"/>
          <w:numId w:val="4"/>
        </w:numPr>
        <w:spacing w:after="0" w:line="240" w:lineRule="auto"/>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Tabaei</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Babaee</w:t>
      </w:r>
      <w:proofErr w:type="spellEnd"/>
      <w:r w:rsidRPr="000037CA">
        <w:rPr>
          <w:rFonts w:asciiTheme="majorBidi" w:hAnsiTheme="majorBidi" w:cstheme="majorBidi"/>
          <w:sz w:val="20"/>
          <w:szCs w:val="20"/>
          <w:lang w:bidi="fa-IR"/>
        </w:rPr>
        <w:t xml:space="preserve"> </w:t>
      </w:r>
      <w:proofErr w:type="spellStart"/>
      <w:r w:rsidRPr="000037CA">
        <w:rPr>
          <w:rFonts w:asciiTheme="majorBidi" w:hAnsiTheme="majorBidi" w:cstheme="majorBidi"/>
          <w:sz w:val="20"/>
          <w:szCs w:val="20"/>
          <w:lang w:bidi="fa-IR"/>
        </w:rPr>
        <w:t>Aghdam</w:t>
      </w:r>
      <w:proofErr w:type="spellEnd"/>
      <w:r w:rsidRPr="000037CA">
        <w:rPr>
          <w:rFonts w:asciiTheme="majorBidi" w:hAnsiTheme="majorBidi" w:cstheme="majorBidi"/>
          <w:sz w:val="20"/>
          <w:szCs w:val="20"/>
          <w:lang w:bidi="fa-IR"/>
        </w:rPr>
        <w:t xml:space="preserve">, Hakimi, </w:t>
      </w:r>
      <w:proofErr w:type="spellStart"/>
      <w:r w:rsidRPr="000037CA">
        <w:rPr>
          <w:rFonts w:asciiTheme="majorBidi" w:hAnsiTheme="majorBidi" w:cstheme="majorBidi"/>
          <w:sz w:val="20"/>
          <w:szCs w:val="20"/>
          <w:lang w:bidi="fa-IR"/>
        </w:rPr>
        <w:t>Hadi</w:t>
      </w:r>
      <w:proofErr w:type="spellEnd"/>
      <w:r w:rsidRPr="000037CA">
        <w:rPr>
          <w:rFonts w:asciiTheme="majorBidi" w:hAnsiTheme="majorBidi" w:cstheme="majorBidi"/>
          <w:sz w:val="20"/>
          <w:szCs w:val="20"/>
          <w:lang w:bidi="fa-IR"/>
        </w:rPr>
        <w:t>. (2022</w:t>
      </w:r>
      <w:proofErr w:type="gramStart"/>
      <w:r w:rsidRPr="000037CA">
        <w:rPr>
          <w:rFonts w:asciiTheme="majorBidi" w:hAnsiTheme="majorBidi" w:cstheme="majorBidi"/>
          <w:sz w:val="20"/>
          <w:szCs w:val="20"/>
          <w:lang w:bidi="fa-IR"/>
        </w:rPr>
        <w:t>).The</w:t>
      </w:r>
      <w:proofErr w:type="gramEnd"/>
      <w:r w:rsidRPr="000037CA">
        <w:rPr>
          <w:rFonts w:asciiTheme="majorBidi" w:hAnsiTheme="majorBidi" w:cstheme="majorBidi"/>
          <w:sz w:val="20"/>
          <w:szCs w:val="20"/>
          <w:lang w:bidi="fa-IR"/>
        </w:rPr>
        <w:t xml:space="preserve"> Inclusive City: A Novel Approach in Urban Planning (Case Study: Tabriz City).</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Published in Urban Planning Geographical Research, Volume 10, Issue 2, pp. 115-132.</w:t>
      </w:r>
      <w:r w:rsidRPr="000037CA">
        <w:rPr>
          <w:rFonts w:asciiTheme="majorBidi" w:hAnsiTheme="majorBidi" w:cstheme="majorBidi"/>
          <w:sz w:val="20"/>
          <w:szCs w:val="20"/>
          <w:lang w:bidi="fa-IR"/>
        </w:rPr>
        <w:t xml:space="preserve"> </w:t>
      </w:r>
      <w:r w:rsidRPr="000037CA">
        <w:rPr>
          <w:rFonts w:asciiTheme="majorBidi" w:hAnsiTheme="majorBidi" w:cstheme="majorBidi"/>
          <w:sz w:val="20"/>
          <w:szCs w:val="20"/>
          <w:lang w:bidi="fa-IR"/>
        </w:rPr>
        <w:t>(</w:t>
      </w:r>
      <w:proofErr w:type="spellStart"/>
      <w:r w:rsidRPr="000037CA">
        <w:rPr>
          <w:rFonts w:asciiTheme="majorBidi" w:hAnsiTheme="majorBidi" w:cstheme="majorBidi"/>
          <w:sz w:val="20"/>
          <w:szCs w:val="20"/>
          <w:lang w:bidi="fa-IR"/>
        </w:rPr>
        <w:t>persian</w:t>
      </w:r>
      <w:proofErr w:type="spellEnd"/>
      <w:r w:rsidRPr="000037CA">
        <w:rPr>
          <w:rFonts w:asciiTheme="majorBidi" w:hAnsiTheme="majorBidi" w:cstheme="majorBidi"/>
          <w:sz w:val="20"/>
          <w:szCs w:val="20"/>
          <w:lang w:bidi="fa-IR"/>
        </w:rPr>
        <w:t>)</w:t>
      </w:r>
    </w:p>
    <w:p w14:paraId="6EE8153F" w14:textId="51B31C46"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proofErr w:type="spellStart"/>
      <w:r w:rsidRPr="000037CA">
        <w:rPr>
          <w:rFonts w:asciiTheme="majorBidi" w:hAnsiTheme="majorBidi" w:cstheme="majorBidi"/>
          <w:sz w:val="20"/>
          <w:szCs w:val="20"/>
          <w:lang w:bidi="fa-IR"/>
        </w:rPr>
        <w:t>Tiesdel</w:t>
      </w:r>
      <w:proofErr w:type="spellEnd"/>
      <w:r w:rsidRPr="000037CA">
        <w:rPr>
          <w:rFonts w:asciiTheme="majorBidi" w:hAnsiTheme="majorBidi" w:cstheme="majorBidi"/>
          <w:sz w:val="20"/>
          <w:szCs w:val="20"/>
          <w:lang w:bidi="fa-IR"/>
        </w:rPr>
        <w:t xml:space="preserve">, S and Allmendinger, P. (2005). Planning Tools and Market: Towards an Extended Conceptualization </w:t>
      </w:r>
      <w:proofErr w:type="gramStart"/>
      <w:r w:rsidRPr="000037CA">
        <w:rPr>
          <w:rFonts w:asciiTheme="majorBidi" w:hAnsiTheme="majorBidi" w:cstheme="majorBidi"/>
          <w:sz w:val="20"/>
          <w:szCs w:val="20"/>
          <w:lang w:bidi="fa-IR"/>
        </w:rPr>
        <w:t>In</w:t>
      </w:r>
      <w:proofErr w:type="gramEnd"/>
      <w:r w:rsidRPr="000037CA">
        <w:rPr>
          <w:rFonts w:asciiTheme="majorBidi" w:hAnsiTheme="majorBidi" w:cstheme="majorBidi"/>
          <w:sz w:val="20"/>
          <w:szCs w:val="20"/>
          <w:lang w:bidi="fa-IR"/>
        </w:rPr>
        <w:t xml:space="preserve"> Adams, D., Watkins, C., Whites, M. (Eds). Planning, Public Policy and Property Market, Oxford: Blackwell.</w:t>
      </w:r>
    </w:p>
    <w:p w14:paraId="58840F8A"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Un-Habitat. (2011). Public-Private Partnerships in Housing and Urban development. </w:t>
      </w:r>
      <w:proofErr w:type="spellStart"/>
      <w:r w:rsidRPr="000037CA">
        <w:rPr>
          <w:rFonts w:asciiTheme="majorBidi" w:hAnsiTheme="majorBidi" w:cstheme="majorBidi"/>
          <w:sz w:val="20"/>
          <w:szCs w:val="20"/>
          <w:lang w:bidi="fa-IR"/>
        </w:rPr>
        <w:t>UnHabitat</w:t>
      </w:r>
      <w:proofErr w:type="spellEnd"/>
      <w:r w:rsidRPr="000037CA">
        <w:rPr>
          <w:rFonts w:asciiTheme="majorBidi" w:hAnsiTheme="majorBidi" w:cstheme="majorBidi"/>
          <w:sz w:val="20"/>
          <w:szCs w:val="20"/>
          <w:lang w:bidi="fa-IR"/>
        </w:rPr>
        <w:t>. https://doi.org/ISBN Number (Series): 978-92-1-132027-5 ISBN Number (Volume): 978-92-1-132356-6</w:t>
      </w:r>
    </w:p>
    <w:p w14:paraId="5D55127F"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Yeganeh, A., Agee, P. R., Gao, X., &amp; McCoy, A. P. (2021). Feasibility of zero-energy affordable housing. </w:t>
      </w:r>
      <w:r w:rsidRPr="000037CA">
        <w:rPr>
          <w:rFonts w:asciiTheme="majorBidi" w:hAnsiTheme="majorBidi" w:cstheme="majorBidi"/>
          <w:i/>
          <w:iCs/>
          <w:sz w:val="20"/>
          <w:szCs w:val="20"/>
          <w:lang w:bidi="fa-IR"/>
        </w:rPr>
        <w:t>Energy and Buildings</w:t>
      </w:r>
      <w:r w:rsidRPr="000037CA">
        <w:rPr>
          <w:rFonts w:asciiTheme="majorBidi" w:hAnsiTheme="majorBidi" w:cstheme="majorBidi"/>
          <w:sz w:val="20"/>
          <w:szCs w:val="20"/>
          <w:lang w:bidi="fa-IR"/>
        </w:rPr>
        <w:t>, 241, 110919.</w:t>
      </w:r>
    </w:p>
    <w:p w14:paraId="23B38B86"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t xml:space="preserve">Zhang, B. (2020). Social policies, financial markets and the multi-scalar governance of affordable housing in Toronto. </w:t>
      </w:r>
      <w:r w:rsidRPr="000037CA">
        <w:rPr>
          <w:rFonts w:asciiTheme="majorBidi" w:hAnsiTheme="majorBidi" w:cstheme="majorBidi"/>
          <w:i/>
          <w:iCs/>
          <w:sz w:val="20"/>
          <w:szCs w:val="20"/>
          <w:lang w:bidi="fa-IR"/>
        </w:rPr>
        <w:t>Urban Studies</w:t>
      </w:r>
      <w:r w:rsidRPr="000037CA">
        <w:rPr>
          <w:rFonts w:asciiTheme="majorBidi" w:hAnsiTheme="majorBidi" w:cstheme="majorBidi"/>
          <w:sz w:val="20"/>
          <w:szCs w:val="20"/>
          <w:lang w:bidi="fa-IR"/>
        </w:rPr>
        <w:t>, 57(13), 2628-2645.</w:t>
      </w:r>
    </w:p>
    <w:p w14:paraId="39FC510C" w14:textId="77777777" w:rsidR="000037CA" w:rsidRPr="000037CA" w:rsidRDefault="000037CA" w:rsidP="000037CA">
      <w:pPr>
        <w:pStyle w:val="ListParagraph"/>
        <w:numPr>
          <w:ilvl w:val="0"/>
          <w:numId w:val="4"/>
        </w:numPr>
        <w:spacing w:after="0" w:line="240" w:lineRule="auto"/>
        <w:jc w:val="both"/>
        <w:rPr>
          <w:rFonts w:asciiTheme="majorBidi" w:hAnsiTheme="majorBidi" w:cstheme="majorBidi"/>
          <w:sz w:val="20"/>
          <w:szCs w:val="20"/>
          <w:lang w:bidi="fa-IR"/>
        </w:rPr>
      </w:pPr>
      <w:r w:rsidRPr="000037CA">
        <w:rPr>
          <w:rFonts w:asciiTheme="majorBidi" w:hAnsiTheme="majorBidi" w:cstheme="majorBidi"/>
          <w:sz w:val="20"/>
          <w:szCs w:val="20"/>
          <w:lang w:bidi="fa-IR"/>
        </w:rPr>
        <w:lastRenderedPageBreak/>
        <w:t>Zhang, Z., Zhou, M., Luo, X., &amp; Huang, L. (2021). Spatially subsidized benefits-based spatial decision for affordable housing: prototype and case study in China. Journal of Urban Planning and Development, 147(1), 05020030.</w:t>
      </w:r>
    </w:p>
    <w:p w14:paraId="4F950850" w14:textId="77777777" w:rsidR="000037CA" w:rsidRPr="00D07030" w:rsidRDefault="000037CA" w:rsidP="00D07030">
      <w:pPr>
        <w:spacing w:after="0" w:line="240" w:lineRule="auto"/>
        <w:contextualSpacing/>
        <w:jc w:val="both"/>
        <w:rPr>
          <w:rFonts w:asciiTheme="majorBidi" w:hAnsiTheme="majorBidi" w:cstheme="majorBidi"/>
          <w:sz w:val="20"/>
          <w:szCs w:val="20"/>
          <w:lang w:bidi="fa-IR"/>
        </w:rPr>
      </w:pPr>
    </w:p>
    <w:p w14:paraId="4F2D5620" w14:textId="77777777" w:rsidR="00D07030" w:rsidRPr="00A22325" w:rsidRDefault="00D07030" w:rsidP="00F81835">
      <w:pPr>
        <w:spacing w:after="0" w:line="240" w:lineRule="auto"/>
        <w:contextualSpacing/>
        <w:jc w:val="center"/>
        <w:rPr>
          <w:rFonts w:asciiTheme="majorBidi" w:hAnsiTheme="majorBidi" w:cstheme="majorBidi" w:hint="cs"/>
          <w:rtl/>
          <w:lang w:bidi="fa-IR"/>
        </w:rPr>
      </w:pPr>
    </w:p>
    <w:sectPr w:rsidR="00D07030" w:rsidRPr="00A22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36E2"/>
    <w:multiLevelType w:val="multilevel"/>
    <w:tmpl w:val="655E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742A7"/>
    <w:multiLevelType w:val="multilevel"/>
    <w:tmpl w:val="8E48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6055F2"/>
    <w:multiLevelType w:val="multilevel"/>
    <w:tmpl w:val="BDF2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4C2DB3"/>
    <w:multiLevelType w:val="hybridMultilevel"/>
    <w:tmpl w:val="B19A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F0"/>
    <w:rsid w:val="000037CA"/>
    <w:rsid w:val="000101C1"/>
    <w:rsid w:val="00073290"/>
    <w:rsid w:val="001341EE"/>
    <w:rsid w:val="00186732"/>
    <w:rsid w:val="0035024D"/>
    <w:rsid w:val="00545E9C"/>
    <w:rsid w:val="006104F0"/>
    <w:rsid w:val="008655BD"/>
    <w:rsid w:val="008924B7"/>
    <w:rsid w:val="00A22325"/>
    <w:rsid w:val="00BF1010"/>
    <w:rsid w:val="00C45F76"/>
    <w:rsid w:val="00D07030"/>
    <w:rsid w:val="00D40A1F"/>
    <w:rsid w:val="00DD24AD"/>
    <w:rsid w:val="00E65CC0"/>
    <w:rsid w:val="00F81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83A0"/>
  <w15:chartTrackingRefBased/>
  <w15:docId w15:val="{E434111B-677E-4F5C-8393-5BF9F3F5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24D"/>
    <w:rPr>
      <w:rFonts w:ascii="Times New Roman" w:hAnsi="Times New Roman" w:cs="Times New Roman"/>
      <w:sz w:val="24"/>
      <w:szCs w:val="24"/>
    </w:rPr>
  </w:style>
  <w:style w:type="character" w:styleId="Hyperlink">
    <w:name w:val="Hyperlink"/>
    <w:basedOn w:val="DefaultParagraphFont"/>
    <w:uiPriority w:val="99"/>
    <w:unhideWhenUsed/>
    <w:rsid w:val="000037CA"/>
    <w:rPr>
      <w:color w:val="0563C1" w:themeColor="hyperlink"/>
      <w:u w:val="single"/>
    </w:rPr>
  </w:style>
  <w:style w:type="character" w:styleId="UnresolvedMention">
    <w:name w:val="Unresolved Mention"/>
    <w:basedOn w:val="DefaultParagraphFont"/>
    <w:uiPriority w:val="99"/>
    <w:semiHidden/>
    <w:unhideWhenUsed/>
    <w:rsid w:val="000037CA"/>
    <w:rPr>
      <w:color w:val="605E5C"/>
      <w:shd w:val="clear" w:color="auto" w:fill="E1DFDD"/>
    </w:rPr>
  </w:style>
  <w:style w:type="paragraph" w:styleId="ListParagraph">
    <w:name w:val="List Paragraph"/>
    <w:basedOn w:val="Normal"/>
    <w:uiPriority w:val="34"/>
    <w:qFormat/>
    <w:rsid w:val="00003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372">
      <w:bodyDiv w:val="1"/>
      <w:marLeft w:val="0"/>
      <w:marRight w:val="0"/>
      <w:marTop w:val="0"/>
      <w:marBottom w:val="0"/>
      <w:divBdr>
        <w:top w:val="none" w:sz="0" w:space="0" w:color="auto"/>
        <w:left w:val="none" w:sz="0" w:space="0" w:color="auto"/>
        <w:bottom w:val="none" w:sz="0" w:space="0" w:color="auto"/>
        <w:right w:val="none" w:sz="0" w:space="0" w:color="auto"/>
      </w:divBdr>
      <w:divsChild>
        <w:div w:id="1447431486">
          <w:marLeft w:val="0"/>
          <w:marRight w:val="0"/>
          <w:marTop w:val="0"/>
          <w:marBottom w:val="0"/>
          <w:divBdr>
            <w:top w:val="single" w:sz="2" w:space="0" w:color="E5E7EB"/>
            <w:left w:val="single" w:sz="2" w:space="0" w:color="E5E7EB"/>
            <w:bottom w:val="single" w:sz="2" w:space="0" w:color="E5E7EB"/>
            <w:right w:val="single" w:sz="2" w:space="0" w:color="E5E7EB"/>
          </w:divBdr>
          <w:divsChild>
            <w:div w:id="1775057673">
              <w:marLeft w:val="0"/>
              <w:marRight w:val="0"/>
              <w:marTop w:val="0"/>
              <w:marBottom w:val="0"/>
              <w:divBdr>
                <w:top w:val="single" w:sz="2" w:space="0" w:color="E5E7EB"/>
                <w:left w:val="single" w:sz="2" w:space="0" w:color="E5E7EB"/>
                <w:bottom w:val="single" w:sz="2" w:space="0" w:color="E5E7EB"/>
                <w:right w:val="single" w:sz="2" w:space="0" w:color="E5E7EB"/>
              </w:divBdr>
              <w:divsChild>
                <w:div w:id="771323138">
                  <w:marLeft w:val="0"/>
                  <w:marRight w:val="0"/>
                  <w:marTop w:val="100"/>
                  <w:marBottom w:val="100"/>
                  <w:divBdr>
                    <w:top w:val="single" w:sz="2" w:space="0" w:color="E5E7EB"/>
                    <w:left w:val="single" w:sz="2" w:space="0" w:color="E5E7EB"/>
                    <w:bottom w:val="single" w:sz="2" w:space="0" w:color="E5E7EB"/>
                    <w:right w:val="single" w:sz="2" w:space="0" w:color="E5E7EB"/>
                  </w:divBdr>
                  <w:divsChild>
                    <w:div w:id="2084721894">
                      <w:marLeft w:val="0"/>
                      <w:marRight w:val="0"/>
                      <w:marTop w:val="0"/>
                      <w:marBottom w:val="0"/>
                      <w:divBdr>
                        <w:top w:val="none" w:sz="0" w:space="0" w:color="auto"/>
                        <w:left w:val="none" w:sz="0" w:space="0" w:color="auto"/>
                        <w:bottom w:val="none" w:sz="0" w:space="0" w:color="auto"/>
                        <w:right w:val="none" w:sz="0" w:space="0" w:color="auto"/>
                      </w:divBdr>
                      <w:divsChild>
                        <w:div w:id="182134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2324899">
      <w:bodyDiv w:val="1"/>
      <w:marLeft w:val="0"/>
      <w:marRight w:val="0"/>
      <w:marTop w:val="0"/>
      <w:marBottom w:val="0"/>
      <w:divBdr>
        <w:top w:val="none" w:sz="0" w:space="0" w:color="auto"/>
        <w:left w:val="none" w:sz="0" w:space="0" w:color="auto"/>
        <w:bottom w:val="none" w:sz="0" w:space="0" w:color="auto"/>
        <w:right w:val="none" w:sz="0" w:space="0" w:color="auto"/>
      </w:divBdr>
      <w:divsChild>
        <w:div w:id="465247795">
          <w:marLeft w:val="0"/>
          <w:marRight w:val="0"/>
          <w:marTop w:val="100"/>
          <w:marBottom w:val="100"/>
          <w:divBdr>
            <w:top w:val="none" w:sz="0" w:space="0" w:color="auto"/>
            <w:left w:val="none" w:sz="0" w:space="0" w:color="auto"/>
            <w:bottom w:val="none" w:sz="0" w:space="0" w:color="auto"/>
            <w:right w:val="none" w:sz="0" w:space="0" w:color="auto"/>
          </w:divBdr>
          <w:divsChild>
            <w:div w:id="547642565">
              <w:marLeft w:val="0"/>
              <w:marRight w:val="0"/>
              <w:marTop w:val="0"/>
              <w:marBottom w:val="0"/>
              <w:divBdr>
                <w:top w:val="none" w:sz="0" w:space="0" w:color="auto"/>
                <w:left w:val="none" w:sz="0" w:space="0" w:color="auto"/>
                <w:bottom w:val="none" w:sz="0" w:space="0" w:color="auto"/>
                <w:right w:val="none" w:sz="0" w:space="0" w:color="auto"/>
              </w:divBdr>
              <w:divsChild>
                <w:div w:id="10722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69147">
      <w:bodyDiv w:val="1"/>
      <w:marLeft w:val="0"/>
      <w:marRight w:val="0"/>
      <w:marTop w:val="0"/>
      <w:marBottom w:val="0"/>
      <w:divBdr>
        <w:top w:val="none" w:sz="0" w:space="0" w:color="auto"/>
        <w:left w:val="none" w:sz="0" w:space="0" w:color="auto"/>
        <w:bottom w:val="none" w:sz="0" w:space="0" w:color="auto"/>
        <w:right w:val="none" w:sz="0" w:space="0" w:color="auto"/>
      </w:divBdr>
    </w:div>
    <w:div w:id="646209823">
      <w:bodyDiv w:val="1"/>
      <w:marLeft w:val="0"/>
      <w:marRight w:val="0"/>
      <w:marTop w:val="0"/>
      <w:marBottom w:val="0"/>
      <w:divBdr>
        <w:top w:val="none" w:sz="0" w:space="0" w:color="auto"/>
        <w:left w:val="none" w:sz="0" w:space="0" w:color="auto"/>
        <w:bottom w:val="none" w:sz="0" w:space="0" w:color="auto"/>
        <w:right w:val="none" w:sz="0" w:space="0" w:color="auto"/>
      </w:divBdr>
    </w:div>
    <w:div w:id="652103442">
      <w:bodyDiv w:val="1"/>
      <w:marLeft w:val="0"/>
      <w:marRight w:val="0"/>
      <w:marTop w:val="0"/>
      <w:marBottom w:val="0"/>
      <w:divBdr>
        <w:top w:val="none" w:sz="0" w:space="0" w:color="auto"/>
        <w:left w:val="none" w:sz="0" w:space="0" w:color="auto"/>
        <w:bottom w:val="none" w:sz="0" w:space="0" w:color="auto"/>
        <w:right w:val="none" w:sz="0" w:space="0" w:color="auto"/>
      </w:divBdr>
    </w:div>
    <w:div w:id="722607253">
      <w:bodyDiv w:val="1"/>
      <w:marLeft w:val="0"/>
      <w:marRight w:val="0"/>
      <w:marTop w:val="0"/>
      <w:marBottom w:val="0"/>
      <w:divBdr>
        <w:top w:val="none" w:sz="0" w:space="0" w:color="auto"/>
        <w:left w:val="none" w:sz="0" w:space="0" w:color="auto"/>
        <w:bottom w:val="none" w:sz="0" w:space="0" w:color="auto"/>
        <w:right w:val="none" w:sz="0" w:space="0" w:color="auto"/>
      </w:divBdr>
    </w:div>
    <w:div w:id="1004475450">
      <w:bodyDiv w:val="1"/>
      <w:marLeft w:val="0"/>
      <w:marRight w:val="0"/>
      <w:marTop w:val="0"/>
      <w:marBottom w:val="0"/>
      <w:divBdr>
        <w:top w:val="none" w:sz="0" w:space="0" w:color="auto"/>
        <w:left w:val="none" w:sz="0" w:space="0" w:color="auto"/>
        <w:bottom w:val="none" w:sz="0" w:space="0" w:color="auto"/>
        <w:right w:val="none" w:sz="0" w:space="0" w:color="auto"/>
      </w:divBdr>
    </w:div>
    <w:div w:id="1202478512">
      <w:bodyDiv w:val="1"/>
      <w:marLeft w:val="0"/>
      <w:marRight w:val="0"/>
      <w:marTop w:val="0"/>
      <w:marBottom w:val="0"/>
      <w:divBdr>
        <w:top w:val="none" w:sz="0" w:space="0" w:color="auto"/>
        <w:left w:val="none" w:sz="0" w:space="0" w:color="auto"/>
        <w:bottom w:val="none" w:sz="0" w:space="0" w:color="auto"/>
        <w:right w:val="none" w:sz="0" w:space="0" w:color="auto"/>
      </w:divBdr>
    </w:div>
    <w:div w:id="1415128701">
      <w:bodyDiv w:val="1"/>
      <w:marLeft w:val="0"/>
      <w:marRight w:val="0"/>
      <w:marTop w:val="0"/>
      <w:marBottom w:val="0"/>
      <w:divBdr>
        <w:top w:val="none" w:sz="0" w:space="0" w:color="auto"/>
        <w:left w:val="none" w:sz="0" w:space="0" w:color="auto"/>
        <w:bottom w:val="none" w:sz="0" w:space="0" w:color="auto"/>
        <w:right w:val="none" w:sz="0" w:space="0" w:color="auto"/>
      </w:divBdr>
    </w:div>
    <w:div w:id="1415207571">
      <w:bodyDiv w:val="1"/>
      <w:marLeft w:val="0"/>
      <w:marRight w:val="0"/>
      <w:marTop w:val="0"/>
      <w:marBottom w:val="0"/>
      <w:divBdr>
        <w:top w:val="none" w:sz="0" w:space="0" w:color="auto"/>
        <w:left w:val="none" w:sz="0" w:space="0" w:color="auto"/>
        <w:bottom w:val="none" w:sz="0" w:space="0" w:color="auto"/>
        <w:right w:val="none" w:sz="0" w:space="0" w:color="auto"/>
      </w:divBdr>
    </w:div>
    <w:div w:id="1749958937">
      <w:bodyDiv w:val="1"/>
      <w:marLeft w:val="0"/>
      <w:marRight w:val="0"/>
      <w:marTop w:val="0"/>
      <w:marBottom w:val="0"/>
      <w:divBdr>
        <w:top w:val="none" w:sz="0" w:space="0" w:color="auto"/>
        <w:left w:val="none" w:sz="0" w:space="0" w:color="auto"/>
        <w:bottom w:val="none" w:sz="0" w:space="0" w:color="auto"/>
        <w:right w:val="none" w:sz="0" w:space="0" w:color="auto"/>
      </w:divBdr>
    </w:div>
    <w:div w:id="20944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61015-DC65-43D4-AB76-BEB4DD09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9283</Words>
  <Characters>52919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bpc</dc:creator>
  <cp:keywords/>
  <dc:description/>
  <cp:lastModifiedBy>bpc</cp:lastModifiedBy>
  <cp:revision>2</cp:revision>
  <dcterms:created xsi:type="dcterms:W3CDTF">2025-03-22T14:29:00Z</dcterms:created>
  <dcterms:modified xsi:type="dcterms:W3CDTF">2025-03-22T14:29:00Z</dcterms:modified>
</cp:coreProperties>
</file>